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AF2A5CF" w14:textId="77777777" w:rsidR="00126855" w:rsidRDefault="0079082C">
      <w:pPr>
        <w:spacing w:beforeLines="100" w:before="312"/>
        <w:rPr>
          <w:rFonts w:ascii="黑体" w:eastAsia="黑体" w:hAnsi="黑体"/>
          <w:bCs/>
          <w:sz w:val="32"/>
          <w:szCs w:val="32"/>
        </w:rPr>
      </w:pPr>
      <w:r>
        <w:rPr>
          <w:rFonts w:ascii="黑体" w:eastAsia="黑体" w:hAnsi="黑体" w:hint="eastAsia"/>
          <w:bCs/>
          <w:sz w:val="32"/>
          <w:szCs w:val="32"/>
        </w:rPr>
        <w:t>附件2</w:t>
      </w:r>
    </w:p>
    <w:p w14:paraId="19CFA389" w14:textId="77777777" w:rsidR="00126855" w:rsidRDefault="0079082C" w:rsidP="00EA2001">
      <w:pPr>
        <w:jc w:val="center"/>
        <w:rPr>
          <w:rFonts w:ascii="华文中宋" w:eastAsia="华文中宋" w:hAnsi="华文中宋"/>
          <w:b/>
          <w:sz w:val="44"/>
          <w:szCs w:val="44"/>
        </w:rPr>
      </w:pPr>
      <w:proofErr w:type="gramStart"/>
      <w:r>
        <w:rPr>
          <w:rFonts w:ascii="华文中宋" w:eastAsia="华文中宋" w:hAnsi="华文中宋" w:hint="eastAsia"/>
          <w:b/>
          <w:sz w:val="44"/>
          <w:szCs w:val="44"/>
        </w:rPr>
        <w:t>《</w:t>
      </w:r>
      <w:proofErr w:type="gramEnd"/>
      <w:r>
        <w:rPr>
          <w:rFonts w:ascii="华文中宋" w:eastAsia="华文中宋" w:hAnsi="华文中宋" w:hint="eastAsia"/>
          <w:b/>
          <w:sz w:val="44"/>
          <w:szCs w:val="44"/>
        </w:rPr>
        <w:t>体育无形资产评估指导意见</w:t>
      </w:r>
    </w:p>
    <w:p w14:paraId="4DC16E20" w14:textId="77777777" w:rsidR="00126855" w:rsidRDefault="0079082C" w:rsidP="00EA2001">
      <w:pPr>
        <w:jc w:val="center"/>
        <w:rPr>
          <w:rFonts w:ascii="华文中宋" w:eastAsia="华文中宋" w:hAnsi="华文中宋"/>
          <w:b/>
          <w:sz w:val="44"/>
          <w:szCs w:val="44"/>
        </w:rPr>
      </w:pPr>
      <w:r>
        <w:rPr>
          <w:rFonts w:ascii="华文中宋" w:eastAsia="华文中宋" w:hAnsi="华文中宋" w:hint="eastAsia"/>
          <w:b/>
          <w:sz w:val="44"/>
          <w:szCs w:val="44"/>
        </w:rPr>
        <w:t>（征求意见稿）》起草说明</w:t>
      </w:r>
    </w:p>
    <w:p w14:paraId="10AA93AD" w14:textId="77777777" w:rsidR="00126855" w:rsidRDefault="00126855">
      <w:pPr>
        <w:rPr>
          <w:rFonts w:ascii="仿宋" w:eastAsia="仿宋" w:hAnsi="仿宋"/>
          <w:sz w:val="32"/>
          <w:szCs w:val="32"/>
        </w:rPr>
      </w:pPr>
    </w:p>
    <w:p w14:paraId="7AF00359" w14:textId="69FF1286" w:rsidR="00126855" w:rsidRDefault="0079082C">
      <w:pPr>
        <w:ind w:firstLineChars="200" w:firstLine="640"/>
        <w:rPr>
          <w:rFonts w:ascii="仿宋_GB2312" w:eastAsia="仿宋_GB2312" w:hAnsi="华文中宋" w:cs="华文仿宋"/>
          <w:color w:val="000000"/>
          <w:kern w:val="0"/>
          <w:sz w:val="32"/>
          <w:szCs w:val="32"/>
        </w:rPr>
      </w:pPr>
      <w:r>
        <w:rPr>
          <w:rFonts w:ascii="仿宋_GB2312" w:eastAsia="仿宋_GB2312" w:hAnsi="华文中宋" w:cs="华文仿宋" w:hint="eastAsia"/>
          <w:color w:val="000000"/>
          <w:kern w:val="0"/>
          <w:sz w:val="32"/>
          <w:szCs w:val="32"/>
        </w:rPr>
        <w:t>为规范体育无形资产评估业务行为，</w:t>
      </w:r>
      <w:r>
        <w:rPr>
          <w:rFonts w:ascii="仿宋_GB2312" w:eastAsia="仿宋_GB2312" w:hAnsi="华文中宋" w:cs="华文仿宋"/>
          <w:color w:val="000000"/>
          <w:kern w:val="0"/>
          <w:sz w:val="32"/>
          <w:szCs w:val="32"/>
        </w:rPr>
        <w:t>保护资产评估当事人合法权益和公共利益，在财政部和国家体育总局的指导和支持下</w:t>
      </w:r>
      <w:r>
        <w:rPr>
          <w:rFonts w:ascii="仿宋_GB2312" w:eastAsia="仿宋_GB2312" w:hAnsi="华文中宋" w:cs="华文仿宋" w:hint="eastAsia"/>
          <w:color w:val="000000"/>
          <w:kern w:val="0"/>
          <w:sz w:val="32"/>
          <w:szCs w:val="32"/>
        </w:rPr>
        <w:t>，</w:t>
      </w:r>
      <w:r>
        <w:rPr>
          <w:rFonts w:ascii="仿宋_GB2312" w:eastAsia="仿宋_GB2312" w:hAnsi="微软雅黑" w:cs="宋体" w:hint="eastAsia"/>
          <w:color w:val="000000"/>
          <w:kern w:val="0"/>
          <w:sz w:val="32"/>
          <w:szCs w:val="32"/>
        </w:rPr>
        <w:t>中国资产评估协会（以下简称中评协）</w:t>
      </w:r>
      <w:r>
        <w:rPr>
          <w:rFonts w:ascii="仿宋_GB2312" w:eastAsia="仿宋_GB2312" w:hAnsi="华文中宋" w:cs="华文仿宋"/>
          <w:color w:val="000000"/>
          <w:kern w:val="0"/>
          <w:sz w:val="32"/>
          <w:szCs w:val="32"/>
        </w:rPr>
        <w:t>制定了</w:t>
      </w:r>
      <w:r>
        <w:rPr>
          <w:rFonts w:ascii="仿宋_GB2312" w:eastAsia="仿宋_GB2312" w:hAnsi="华文中宋" w:cs="华文仿宋" w:hint="eastAsia"/>
          <w:color w:val="000000"/>
          <w:kern w:val="0"/>
          <w:sz w:val="32"/>
          <w:szCs w:val="32"/>
        </w:rPr>
        <w:t>《体育无形资产评估指导意见（征求意见稿）》（以下简称《指导意见》）。</w:t>
      </w:r>
      <w:r>
        <w:rPr>
          <w:rFonts w:ascii="仿宋_GB2312" w:eastAsia="仿宋_GB2312" w:hAnsi="微软雅黑" w:cs="宋体" w:hint="eastAsia"/>
          <w:color w:val="000000"/>
          <w:kern w:val="0"/>
          <w:sz w:val="32"/>
          <w:szCs w:val="32"/>
        </w:rPr>
        <w:t>现就有关事项说明如下：</w:t>
      </w:r>
    </w:p>
    <w:p w14:paraId="64BD73AD" w14:textId="77777777" w:rsidR="00126855" w:rsidRDefault="0079082C">
      <w:pPr>
        <w:ind w:firstLineChars="200" w:firstLine="640"/>
        <w:rPr>
          <w:rFonts w:ascii="黑体" w:eastAsia="黑体" w:hAnsi="黑体"/>
          <w:color w:val="000000"/>
          <w:sz w:val="32"/>
          <w:szCs w:val="32"/>
          <w:shd w:val="clear" w:color="auto" w:fill="FFFFFF"/>
        </w:rPr>
      </w:pPr>
      <w:r>
        <w:rPr>
          <w:rFonts w:ascii="黑体" w:eastAsia="黑体" w:hAnsi="黑体" w:hint="eastAsia"/>
          <w:color w:val="000000"/>
          <w:sz w:val="32"/>
          <w:szCs w:val="32"/>
          <w:shd w:val="clear" w:color="auto" w:fill="FFFFFF"/>
        </w:rPr>
        <w:t>一、制定《指导意见》的背景</w:t>
      </w:r>
    </w:p>
    <w:p w14:paraId="530BA7E9" w14:textId="043313C6" w:rsidR="00126855" w:rsidRDefault="0079082C">
      <w:pPr>
        <w:ind w:firstLineChars="200" w:firstLine="640"/>
        <w:rPr>
          <w:rFonts w:ascii="仿宋_GB2312" w:eastAsia="仿宋_GB2312" w:hAnsi="仿宋"/>
          <w:sz w:val="32"/>
          <w:szCs w:val="32"/>
        </w:rPr>
      </w:pPr>
      <w:r>
        <w:rPr>
          <w:rFonts w:ascii="仿宋_GB2312" w:eastAsia="仿宋_GB2312" w:hAnsi="仿宋" w:hint="eastAsia"/>
          <w:sz w:val="32"/>
          <w:szCs w:val="32"/>
        </w:rPr>
        <w:t>党的十九大报告指出，要加快推进体育强国建设。2019年9月17日，国务院办公厅发布了《关于促进全民健身和体育消费推动体育产业高质量发展的意见》（国办发〔2019〕43号），明确提出建立体育无形资产评估标准、完善评估制度。近年来，我国体育产业实现了较快发展，产业规模不断扩大，体育无形资产作为体育企业的核心资产和重要资源，其价值的认定和实现对体育企业乃至整个体育产业的发展具有关键作用。</w:t>
      </w:r>
      <w:r>
        <w:rPr>
          <w:rFonts w:ascii="仿宋_GB2312" w:eastAsia="仿宋_GB2312" w:hAnsi="宋体" w:cs="宋体" w:hint="eastAsia"/>
          <w:color w:val="000000"/>
          <w:kern w:val="0"/>
          <w:sz w:val="32"/>
          <w:szCs w:val="32"/>
        </w:rPr>
        <w:t>为</w:t>
      </w:r>
      <w:r>
        <w:rPr>
          <w:rFonts w:ascii="仿宋_GB2312" w:eastAsia="仿宋_GB2312" w:hAnsi="仿宋" w:hint="eastAsia"/>
          <w:sz w:val="32"/>
          <w:szCs w:val="32"/>
        </w:rPr>
        <w:t>落实党中央、国务院要求，推动我国体育产业高质量发展，丰富和完善资产评估准则体系，</w:t>
      </w:r>
      <w:r>
        <w:rPr>
          <w:rFonts w:ascii="仿宋_GB2312" w:eastAsia="仿宋_GB2312" w:hAnsi="宋体" w:cs="宋体" w:hint="eastAsia"/>
          <w:color w:val="000000"/>
          <w:kern w:val="0"/>
          <w:sz w:val="32"/>
          <w:szCs w:val="32"/>
        </w:rPr>
        <w:t>更好地指导资产评估执业，中评协研究起草了《指导意见》。</w:t>
      </w:r>
    </w:p>
    <w:p w14:paraId="01357D59" w14:textId="77777777" w:rsidR="00126855" w:rsidRDefault="0079082C">
      <w:pPr>
        <w:ind w:firstLineChars="200" w:firstLine="640"/>
        <w:rPr>
          <w:rFonts w:ascii="黑体" w:eastAsia="黑体" w:hAnsi="黑体"/>
          <w:color w:val="000000"/>
          <w:sz w:val="32"/>
          <w:szCs w:val="32"/>
          <w:shd w:val="clear" w:color="auto" w:fill="FFFFFF"/>
        </w:rPr>
      </w:pPr>
      <w:r>
        <w:rPr>
          <w:rFonts w:ascii="黑体" w:eastAsia="黑体" w:hAnsi="黑体" w:hint="eastAsia"/>
          <w:color w:val="000000"/>
          <w:sz w:val="32"/>
          <w:szCs w:val="32"/>
          <w:shd w:val="clear" w:color="auto" w:fill="FFFFFF"/>
        </w:rPr>
        <w:t>二、《指导意见》的定位</w:t>
      </w:r>
    </w:p>
    <w:p w14:paraId="7C1681CA" w14:textId="77777777" w:rsidR="00126855" w:rsidRDefault="0079082C">
      <w:pPr>
        <w:ind w:firstLineChars="200" w:firstLine="640"/>
        <w:rPr>
          <w:rFonts w:ascii="仿宋_GB2312" w:eastAsia="仿宋_GB2312" w:hAnsi="仿宋"/>
          <w:sz w:val="32"/>
          <w:szCs w:val="32"/>
        </w:rPr>
      </w:pPr>
      <w:r>
        <w:rPr>
          <w:rFonts w:ascii="仿宋_GB2312" w:eastAsia="仿宋_GB2312" w:hAnsi="仿宋" w:hint="eastAsia"/>
          <w:sz w:val="32"/>
          <w:szCs w:val="32"/>
        </w:rPr>
        <w:lastRenderedPageBreak/>
        <w:t>《指导意见》以《资产评估执业准则——无形资产》为基础，注重与现有无形资产评估准则框架衔接，突出体育无形资产的特点，对体育无形资产的识别、不同类别体育无形资产价值影响因素的分析、评估资料的收集、评估方法的选用和评估参数的确定等重点难点问题进行了相应的规范，突出可操作性。</w:t>
      </w:r>
    </w:p>
    <w:p w14:paraId="067E2703" w14:textId="77777777" w:rsidR="00126855" w:rsidRDefault="0079082C">
      <w:pPr>
        <w:ind w:firstLineChars="200" w:firstLine="640"/>
        <w:rPr>
          <w:rFonts w:ascii="黑体" w:eastAsia="黑体" w:hAnsi="黑体"/>
          <w:color w:val="000000"/>
          <w:sz w:val="32"/>
          <w:szCs w:val="32"/>
          <w:shd w:val="clear" w:color="auto" w:fill="FFFFFF"/>
        </w:rPr>
      </w:pPr>
      <w:r>
        <w:rPr>
          <w:rFonts w:ascii="黑体" w:eastAsia="黑体" w:hAnsi="黑体" w:hint="eastAsia"/>
          <w:color w:val="000000"/>
          <w:sz w:val="32"/>
          <w:szCs w:val="32"/>
          <w:shd w:val="clear" w:color="auto" w:fill="FFFFFF"/>
        </w:rPr>
        <w:t>三、起草过程</w:t>
      </w:r>
    </w:p>
    <w:p w14:paraId="30AB4A13" w14:textId="01C2CE3D" w:rsidR="00126855" w:rsidRDefault="0079082C">
      <w:pPr>
        <w:ind w:firstLineChars="200" w:firstLine="640"/>
        <w:rPr>
          <w:rFonts w:ascii="仿宋_GB2312" w:eastAsia="仿宋_GB2312" w:hAnsi="仿宋"/>
          <w:sz w:val="32"/>
          <w:szCs w:val="32"/>
        </w:rPr>
      </w:pPr>
      <w:proofErr w:type="gramStart"/>
      <w:r>
        <w:rPr>
          <w:rFonts w:ascii="仿宋_GB2312" w:eastAsia="仿宋_GB2312" w:hAnsi="宋体" w:cs="宋体" w:hint="eastAsia"/>
          <w:color w:val="000000"/>
          <w:kern w:val="0"/>
          <w:sz w:val="32"/>
          <w:szCs w:val="32"/>
        </w:rPr>
        <w:t>中评协</w:t>
      </w:r>
      <w:proofErr w:type="gramEnd"/>
      <w:r>
        <w:rPr>
          <w:rFonts w:ascii="仿宋_GB2312" w:eastAsia="仿宋_GB2312" w:hAnsi="宋体" w:cs="宋体" w:hint="eastAsia"/>
          <w:color w:val="000000"/>
          <w:kern w:val="0"/>
          <w:sz w:val="32"/>
          <w:szCs w:val="32"/>
        </w:rPr>
        <w:t>在2020年6月组建《指导意见》研究项目组。在国家体育总局的帮助和支持下，项目组经过调研走访</w:t>
      </w:r>
      <w:r w:rsidR="00EA2001">
        <w:rPr>
          <w:rFonts w:ascii="仿宋_GB2312" w:eastAsia="仿宋_GB2312" w:hAnsi="宋体" w:cs="宋体" w:hint="eastAsia"/>
          <w:color w:val="000000"/>
          <w:kern w:val="0"/>
          <w:sz w:val="32"/>
          <w:szCs w:val="32"/>
        </w:rPr>
        <w:t>和</w:t>
      </w:r>
      <w:r>
        <w:rPr>
          <w:rFonts w:ascii="仿宋_GB2312" w:eastAsia="仿宋_GB2312" w:hAnsi="宋体" w:cs="宋体" w:hint="eastAsia"/>
          <w:color w:val="000000"/>
          <w:kern w:val="0"/>
          <w:sz w:val="32"/>
          <w:szCs w:val="32"/>
        </w:rPr>
        <w:t>专家研讨，于20</w:t>
      </w:r>
      <w:r>
        <w:rPr>
          <w:rFonts w:ascii="仿宋_GB2312" w:eastAsia="仿宋_GB2312" w:hAnsi="宋体" w:cs="宋体"/>
          <w:color w:val="000000"/>
          <w:kern w:val="0"/>
          <w:sz w:val="32"/>
          <w:szCs w:val="32"/>
        </w:rPr>
        <w:t>21</w:t>
      </w:r>
      <w:r>
        <w:rPr>
          <w:rFonts w:ascii="仿宋_GB2312" w:eastAsia="仿宋_GB2312" w:hAnsi="宋体" w:cs="宋体" w:hint="eastAsia"/>
          <w:color w:val="000000"/>
          <w:kern w:val="0"/>
          <w:sz w:val="32"/>
          <w:szCs w:val="32"/>
        </w:rPr>
        <w:t>年</w:t>
      </w:r>
      <w:r>
        <w:rPr>
          <w:rFonts w:ascii="仿宋_GB2312" w:eastAsia="仿宋_GB2312" w:hAnsi="宋体" w:cs="宋体"/>
          <w:color w:val="000000"/>
          <w:kern w:val="0"/>
          <w:sz w:val="32"/>
          <w:szCs w:val="32"/>
        </w:rPr>
        <w:t>4</w:t>
      </w:r>
      <w:r>
        <w:rPr>
          <w:rFonts w:ascii="仿宋_GB2312" w:eastAsia="仿宋_GB2312" w:hAnsi="宋体" w:cs="宋体" w:hint="eastAsia"/>
          <w:color w:val="000000"/>
          <w:kern w:val="0"/>
          <w:sz w:val="32"/>
          <w:szCs w:val="32"/>
        </w:rPr>
        <w:t>月形成《指导意见》建</w:t>
      </w:r>
      <w:r w:rsidRPr="00EA2001">
        <w:rPr>
          <w:rFonts w:ascii="仿宋_GB2312" w:eastAsia="仿宋_GB2312" w:hAnsi="宋体" w:cs="宋体"/>
          <w:color w:val="000000"/>
          <w:kern w:val="0"/>
          <w:sz w:val="32"/>
          <w:szCs w:val="32"/>
        </w:rPr>
        <w:t>议稿。2021年5月20日，</w:t>
      </w:r>
      <w:proofErr w:type="gramStart"/>
      <w:r w:rsidRPr="00EA2001">
        <w:rPr>
          <w:rFonts w:ascii="仿宋_GB2312" w:eastAsia="仿宋_GB2312" w:hAnsi="宋体" w:cs="宋体"/>
          <w:color w:val="000000"/>
          <w:kern w:val="0"/>
          <w:sz w:val="32"/>
          <w:szCs w:val="32"/>
        </w:rPr>
        <w:t>中评协</w:t>
      </w:r>
      <w:proofErr w:type="gramEnd"/>
      <w:r w:rsidRPr="00EA2001">
        <w:rPr>
          <w:rFonts w:ascii="仿宋_GB2312" w:eastAsia="仿宋_GB2312" w:hAnsi="宋体" w:cs="宋体"/>
          <w:color w:val="000000"/>
          <w:kern w:val="0"/>
          <w:sz w:val="32"/>
          <w:szCs w:val="32"/>
        </w:rPr>
        <w:t>组织召</w:t>
      </w:r>
      <w:r w:rsidRPr="00EA2001">
        <w:rPr>
          <w:rFonts w:ascii="仿宋_GB2312" w:eastAsia="仿宋_GB2312" w:hAnsi="宋体" w:cs="宋体" w:hint="eastAsia"/>
          <w:color w:val="000000"/>
          <w:kern w:val="0"/>
          <w:sz w:val="32"/>
          <w:szCs w:val="32"/>
        </w:rPr>
        <w:t>开了《指导意见》建议</w:t>
      </w:r>
      <w:proofErr w:type="gramStart"/>
      <w:r w:rsidRPr="00EA2001">
        <w:rPr>
          <w:rFonts w:ascii="仿宋_GB2312" w:eastAsia="仿宋_GB2312" w:hAnsi="宋体" w:cs="宋体" w:hint="eastAsia"/>
          <w:color w:val="000000"/>
          <w:kern w:val="0"/>
          <w:sz w:val="32"/>
          <w:szCs w:val="32"/>
        </w:rPr>
        <w:t>稿专家</w:t>
      </w:r>
      <w:proofErr w:type="gramEnd"/>
      <w:r w:rsidRPr="00EA2001">
        <w:rPr>
          <w:rFonts w:ascii="仿宋_GB2312" w:eastAsia="仿宋_GB2312" w:hAnsi="宋体" w:cs="宋体" w:hint="eastAsia"/>
          <w:color w:val="000000"/>
          <w:kern w:val="0"/>
          <w:sz w:val="32"/>
          <w:szCs w:val="32"/>
        </w:rPr>
        <w:t>研讨会，</w:t>
      </w:r>
      <w:r>
        <w:rPr>
          <w:rFonts w:ascii="仿宋" w:eastAsia="仿宋" w:hAnsi="仿宋" w:hint="eastAsia"/>
          <w:sz w:val="32"/>
          <w:szCs w:val="32"/>
        </w:rPr>
        <w:t>项目组根据专家意见对建议稿进行了修订和完善，形成了征求意见稿。</w:t>
      </w:r>
    </w:p>
    <w:p w14:paraId="36458648" w14:textId="77777777" w:rsidR="00126855" w:rsidRDefault="0079082C">
      <w:pPr>
        <w:ind w:firstLineChars="200" w:firstLine="640"/>
        <w:rPr>
          <w:rFonts w:ascii="黑体" w:eastAsia="黑体" w:hAnsi="黑体"/>
          <w:color w:val="000000"/>
          <w:sz w:val="32"/>
          <w:szCs w:val="32"/>
          <w:shd w:val="clear" w:color="auto" w:fill="FFFFFF"/>
        </w:rPr>
      </w:pPr>
      <w:r>
        <w:rPr>
          <w:rFonts w:ascii="黑体" w:eastAsia="黑体" w:hAnsi="黑体" w:hint="eastAsia"/>
          <w:color w:val="000000"/>
          <w:sz w:val="32"/>
          <w:szCs w:val="32"/>
          <w:shd w:val="clear" w:color="auto" w:fill="FFFFFF"/>
        </w:rPr>
        <w:t>四、主要内容</w:t>
      </w:r>
    </w:p>
    <w:p w14:paraId="243D47A8" w14:textId="77777777" w:rsidR="00126855" w:rsidRDefault="0079082C">
      <w:pPr>
        <w:ind w:firstLineChars="200" w:firstLine="640"/>
        <w:rPr>
          <w:rFonts w:ascii="仿宋_GB2312" w:eastAsia="仿宋_GB2312" w:hAnsi="仿宋"/>
          <w:sz w:val="32"/>
          <w:szCs w:val="32"/>
        </w:rPr>
      </w:pPr>
      <w:r>
        <w:rPr>
          <w:rFonts w:ascii="仿宋_GB2312" w:eastAsia="仿宋_GB2312" w:hAnsi="宋体" w:cs="宋体" w:hint="eastAsia"/>
          <w:color w:val="000000"/>
          <w:kern w:val="0"/>
          <w:sz w:val="32"/>
          <w:szCs w:val="32"/>
        </w:rPr>
        <w:t>《指导意见》分为七章，共计</w:t>
      </w:r>
      <w:r>
        <w:rPr>
          <w:rFonts w:ascii="仿宋_GB2312" w:eastAsia="仿宋_GB2312" w:hAnsi="宋体" w:cs="宋体"/>
          <w:color w:val="000000"/>
          <w:kern w:val="0"/>
          <w:sz w:val="32"/>
          <w:szCs w:val="32"/>
        </w:rPr>
        <w:t>51</w:t>
      </w:r>
      <w:r>
        <w:rPr>
          <w:rFonts w:ascii="仿宋_GB2312" w:eastAsia="仿宋_GB2312" w:hAnsi="宋体" w:cs="宋体" w:hint="eastAsia"/>
          <w:color w:val="000000"/>
          <w:kern w:val="0"/>
          <w:sz w:val="32"/>
          <w:szCs w:val="32"/>
        </w:rPr>
        <w:t>条。分别为“引言”“基本遵循”“评估对象和范围”“操作要求”“评估方法”“</w:t>
      </w:r>
      <w:r>
        <w:rPr>
          <w:rFonts w:ascii="仿宋_GB2312" w:eastAsia="仿宋_GB2312" w:hAnsi="仿宋" w:hint="eastAsia"/>
          <w:sz w:val="32"/>
          <w:szCs w:val="32"/>
        </w:rPr>
        <w:t>披露要求</w:t>
      </w:r>
      <w:r>
        <w:rPr>
          <w:rFonts w:ascii="仿宋_GB2312" w:eastAsia="仿宋_GB2312" w:hAnsi="宋体" w:cs="宋体" w:hint="eastAsia"/>
          <w:color w:val="000000"/>
          <w:kern w:val="0"/>
          <w:sz w:val="32"/>
          <w:szCs w:val="32"/>
        </w:rPr>
        <w:t>”和“附则”。</w:t>
      </w:r>
    </w:p>
    <w:p w14:paraId="5DF2C727" w14:textId="77777777" w:rsidR="00126855" w:rsidRDefault="0079082C">
      <w:pPr>
        <w:widowControl/>
        <w:shd w:val="clear" w:color="auto" w:fill="FFFFFF"/>
        <w:spacing w:line="360" w:lineRule="atLeast"/>
        <w:ind w:firstLine="640"/>
        <w:rPr>
          <w:rFonts w:ascii="宋体" w:eastAsia="宋体" w:hAnsi="宋体" w:cs="宋体"/>
          <w:color w:val="000000"/>
          <w:kern w:val="0"/>
          <w:sz w:val="24"/>
          <w:szCs w:val="24"/>
        </w:rPr>
      </w:pPr>
      <w:r>
        <w:rPr>
          <w:rFonts w:ascii="仿宋_GB2312" w:eastAsia="仿宋_GB2312" w:hAnsi="宋体" w:cs="宋体" w:hint="eastAsia"/>
          <w:color w:val="000000"/>
          <w:kern w:val="0"/>
          <w:sz w:val="32"/>
          <w:szCs w:val="32"/>
        </w:rPr>
        <w:t>一是明确了制定宗旨、制定依据、定义、适用范围及相关服务领域，规定了执行体育无形资产评估业务的基本原则和职业道德规范、专业胜任能力、业务类型等内容。</w:t>
      </w:r>
    </w:p>
    <w:p w14:paraId="45CF1C2D" w14:textId="77777777" w:rsidR="00126855" w:rsidRDefault="0079082C">
      <w:pPr>
        <w:widowControl/>
        <w:shd w:val="clear" w:color="auto" w:fill="FFFFFF"/>
        <w:spacing w:line="360" w:lineRule="atLeast"/>
        <w:ind w:firstLine="640"/>
        <w:rPr>
          <w:rFonts w:ascii="仿宋_GB2312" w:eastAsia="仿宋_GB2312" w:hAnsi="宋体" w:cs="宋体"/>
          <w:color w:val="000000"/>
          <w:kern w:val="0"/>
          <w:sz w:val="32"/>
          <w:szCs w:val="32"/>
        </w:rPr>
      </w:pPr>
      <w:r>
        <w:rPr>
          <w:rFonts w:ascii="仿宋_GB2312" w:eastAsia="仿宋_GB2312" w:hAnsi="宋体" w:cs="宋体" w:hint="eastAsia"/>
          <w:color w:val="000000"/>
          <w:kern w:val="0"/>
          <w:sz w:val="32"/>
          <w:szCs w:val="32"/>
        </w:rPr>
        <w:t>二是明确了体育无形资产评估的评估要素。在结合体育无形资产特点的基础上，明确了体育无形资产评估对象和评</w:t>
      </w:r>
      <w:r>
        <w:rPr>
          <w:rFonts w:ascii="仿宋_GB2312" w:eastAsia="仿宋_GB2312" w:hAnsi="宋体" w:cs="宋体" w:hint="eastAsia"/>
          <w:color w:val="000000"/>
          <w:kern w:val="0"/>
          <w:sz w:val="32"/>
          <w:szCs w:val="32"/>
        </w:rPr>
        <w:lastRenderedPageBreak/>
        <w:t>估范围的内容以及注意事项。结合体育无形资产的分类和商业模式，提出体育无形资产价值的主要影响因素，以及评估现场调查、评估应收集的常见资料、利用专家工作等操作规范要求。根据体育无形资产的商业模式和价值影响因素，对收益法、市场法、成本法三种方法的应用和关键参数的选取</w:t>
      </w:r>
      <w:proofErr w:type="gramStart"/>
      <w:r>
        <w:rPr>
          <w:rFonts w:ascii="仿宋_GB2312" w:eastAsia="仿宋_GB2312" w:hAnsi="宋体" w:cs="宋体" w:hint="eastAsia"/>
          <w:color w:val="000000"/>
          <w:kern w:val="0"/>
          <w:sz w:val="32"/>
          <w:szCs w:val="32"/>
        </w:rPr>
        <w:t>作出</w:t>
      </w:r>
      <w:proofErr w:type="gramEnd"/>
      <w:r>
        <w:rPr>
          <w:rFonts w:ascii="仿宋_GB2312" w:eastAsia="仿宋_GB2312" w:hAnsi="宋体" w:cs="宋体" w:hint="eastAsia"/>
          <w:color w:val="000000"/>
          <w:kern w:val="0"/>
          <w:sz w:val="32"/>
          <w:szCs w:val="32"/>
        </w:rPr>
        <w:t>规定。</w:t>
      </w:r>
    </w:p>
    <w:p w14:paraId="3578D19A" w14:textId="77777777" w:rsidR="00126855" w:rsidRDefault="0079082C">
      <w:pPr>
        <w:ind w:firstLineChars="200" w:firstLine="640"/>
        <w:rPr>
          <w:rFonts w:ascii="仿宋_GB2312" w:eastAsia="仿宋_GB2312" w:hAnsi="仿宋"/>
          <w:sz w:val="32"/>
          <w:szCs w:val="32"/>
        </w:rPr>
      </w:pPr>
      <w:r>
        <w:rPr>
          <w:rFonts w:ascii="仿宋_GB2312" w:eastAsia="仿宋_GB2312" w:hAnsi="宋体" w:cs="宋体" w:hint="eastAsia"/>
          <w:color w:val="000000"/>
          <w:kern w:val="0"/>
          <w:sz w:val="32"/>
          <w:szCs w:val="32"/>
        </w:rPr>
        <w:t>三是明确了体育无形资产评估报告的披露内容，强调反映体育无形资产特点。</w:t>
      </w:r>
    </w:p>
    <w:p w14:paraId="770DBFF5" w14:textId="77777777" w:rsidR="00126855" w:rsidRDefault="0079082C">
      <w:pPr>
        <w:ind w:firstLineChars="200" w:firstLine="640"/>
        <w:rPr>
          <w:rFonts w:ascii="黑体" w:eastAsia="黑体" w:hAnsi="黑体"/>
          <w:color w:val="000000"/>
          <w:sz w:val="32"/>
          <w:szCs w:val="32"/>
          <w:shd w:val="clear" w:color="auto" w:fill="FFFFFF"/>
        </w:rPr>
      </w:pPr>
      <w:r>
        <w:rPr>
          <w:rFonts w:ascii="黑体" w:eastAsia="黑体" w:hAnsi="黑体" w:hint="eastAsia"/>
          <w:color w:val="000000"/>
          <w:sz w:val="32"/>
          <w:szCs w:val="32"/>
          <w:shd w:val="clear" w:color="auto" w:fill="FFFFFF"/>
        </w:rPr>
        <w:t>五、重要内容说明</w:t>
      </w:r>
    </w:p>
    <w:p w14:paraId="658A10FD" w14:textId="77777777" w:rsidR="00126855" w:rsidRDefault="0079082C">
      <w:pPr>
        <w:ind w:firstLineChars="200" w:firstLine="643"/>
        <w:rPr>
          <w:rFonts w:ascii="仿宋_GB2312" w:eastAsia="仿宋_GB2312" w:hAnsi="仿宋"/>
          <w:b/>
          <w:sz w:val="32"/>
          <w:szCs w:val="32"/>
        </w:rPr>
      </w:pPr>
      <w:r>
        <w:rPr>
          <w:rFonts w:ascii="仿宋_GB2312" w:eastAsia="仿宋_GB2312" w:hAnsi="仿宋" w:hint="eastAsia"/>
          <w:b/>
          <w:sz w:val="32"/>
          <w:szCs w:val="32"/>
        </w:rPr>
        <w:t>（一）体育无形资产的定义和特征</w:t>
      </w:r>
    </w:p>
    <w:p w14:paraId="7CBAA4D4" w14:textId="296E98CF" w:rsidR="00126855" w:rsidRDefault="0079082C">
      <w:pPr>
        <w:ind w:firstLineChars="200" w:firstLine="640"/>
        <w:rPr>
          <w:rFonts w:ascii="仿宋_GB2312" w:eastAsia="仿宋_GB2312" w:hAnsi="仿宋"/>
          <w:sz w:val="32"/>
          <w:szCs w:val="32"/>
        </w:rPr>
      </w:pPr>
      <w:r>
        <w:rPr>
          <w:rFonts w:ascii="仿宋_GB2312" w:eastAsia="仿宋_GB2312" w:hAnsi="仿宋" w:hint="eastAsia"/>
          <w:sz w:val="32"/>
          <w:szCs w:val="32"/>
        </w:rPr>
        <w:t>《指导意见》对体育无形资产的定义，是在评估准则关于无形资产定义的基础上，结合体育无形资产的体育元素和无形资产元素，突出了其体育资源的特有属性和权利主体的多样性。</w:t>
      </w:r>
    </w:p>
    <w:p w14:paraId="1F5260F0" w14:textId="12E8FBD8" w:rsidR="00126855" w:rsidRDefault="0079082C">
      <w:pPr>
        <w:ind w:firstLineChars="200" w:firstLine="640"/>
        <w:rPr>
          <w:rFonts w:ascii="仿宋_GB2312" w:eastAsia="仿宋_GB2312" w:hAnsi="仿宋"/>
          <w:sz w:val="32"/>
          <w:szCs w:val="32"/>
        </w:rPr>
      </w:pPr>
      <w:r>
        <w:rPr>
          <w:rFonts w:ascii="仿宋_GB2312" w:eastAsia="仿宋_GB2312" w:hAnsi="仿宋" w:hint="eastAsia"/>
          <w:sz w:val="32"/>
          <w:szCs w:val="32"/>
        </w:rPr>
        <w:t>关于体育无形资产的特征，《指导意见》不仅对著作权资产、商标和标志资产、专利和专有技术资产、特许经营</w:t>
      </w:r>
      <w:proofErr w:type="gramStart"/>
      <w:r>
        <w:rPr>
          <w:rFonts w:ascii="仿宋_GB2312" w:eastAsia="仿宋_GB2312" w:hAnsi="仿宋" w:hint="eastAsia"/>
          <w:sz w:val="32"/>
          <w:szCs w:val="32"/>
        </w:rPr>
        <w:t>权资产</w:t>
      </w:r>
      <w:proofErr w:type="gramEnd"/>
      <w:r>
        <w:rPr>
          <w:rFonts w:ascii="仿宋_GB2312" w:eastAsia="仿宋_GB2312" w:hAnsi="仿宋" w:hint="eastAsia"/>
          <w:sz w:val="32"/>
          <w:szCs w:val="32"/>
        </w:rPr>
        <w:t>和合同权益资产等常见体育无形资产类别分别进行介绍，也从与体育赛事相关的无形资产、与体育专业人员相关的无形资产、与体育组织相关的无形资产和与体育场馆相关的无形资产等角度，分别阐述了体育无形资产的价值影响因素。</w:t>
      </w:r>
    </w:p>
    <w:p w14:paraId="365D9DD9" w14:textId="77777777" w:rsidR="00126855" w:rsidRPr="00EA2001" w:rsidRDefault="0079082C">
      <w:pPr>
        <w:ind w:firstLineChars="200" w:firstLine="643"/>
        <w:rPr>
          <w:rFonts w:ascii="仿宋_GB2312" w:eastAsia="仿宋_GB2312" w:hAnsi="仿宋"/>
          <w:b/>
          <w:bCs/>
          <w:sz w:val="32"/>
          <w:szCs w:val="32"/>
        </w:rPr>
      </w:pPr>
      <w:r w:rsidRPr="00EA2001">
        <w:rPr>
          <w:rFonts w:ascii="仿宋_GB2312" w:eastAsia="仿宋_GB2312" w:hAnsi="仿宋" w:hint="eastAsia"/>
          <w:b/>
          <w:bCs/>
          <w:sz w:val="32"/>
          <w:szCs w:val="32"/>
        </w:rPr>
        <w:t>（二）关注体育的社会效益</w:t>
      </w:r>
    </w:p>
    <w:p w14:paraId="407D4C53" w14:textId="4CEA57B6" w:rsidR="00126855" w:rsidRDefault="0079082C">
      <w:pPr>
        <w:ind w:firstLineChars="200" w:firstLine="640"/>
        <w:rPr>
          <w:rFonts w:ascii="仿宋_GB2312" w:eastAsia="仿宋_GB2312" w:hAnsi="仿宋"/>
          <w:sz w:val="32"/>
          <w:szCs w:val="32"/>
        </w:rPr>
      </w:pPr>
      <w:r>
        <w:rPr>
          <w:rFonts w:ascii="仿宋_GB2312" w:eastAsia="仿宋_GB2312" w:hAnsi="仿宋" w:hint="eastAsia"/>
          <w:sz w:val="32"/>
          <w:szCs w:val="32"/>
        </w:rPr>
        <w:t>《指导意见》指出，</w:t>
      </w:r>
      <w:r>
        <w:rPr>
          <w:rFonts w:ascii="仿宋_GB2312" w:eastAsia="仿宋_GB2312" w:hAnsi="华文中宋" w:cs="华文仿宋" w:hint="eastAsia"/>
          <w:color w:val="000000"/>
          <w:kern w:val="0"/>
          <w:sz w:val="32"/>
          <w:szCs w:val="32"/>
        </w:rPr>
        <w:t>执行体育无形资产评估业务，</w:t>
      </w:r>
      <w:r>
        <w:rPr>
          <w:rFonts w:ascii="仿宋_GB2312" w:eastAsia="仿宋_GB2312" w:hAnsi="华文中宋" w:cs="华文仿宋"/>
          <w:color w:val="000000"/>
          <w:kern w:val="0"/>
          <w:sz w:val="32"/>
          <w:szCs w:val="32"/>
        </w:rPr>
        <w:t>应当</w:t>
      </w:r>
      <w:r>
        <w:rPr>
          <w:rFonts w:ascii="仿宋_GB2312" w:eastAsia="仿宋_GB2312" w:hAnsi="华文中宋" w:hint="eastAsia"/>
          <w:color w:val="000000"/>
          <w:sz w:val="32"/>
          <w:szCs w:val="32"/>
        </w:rPr>
        <w:lastRenderedPageBreak/>
        <w:t>了</w:t>
      </w:r>
      <w:r>
        <w:rPr>
          <w:rFonts w:ascii="仿宋_GB2312" w:eastAsia="仿宋_GB2312" w:hAnsi="华文中宋" w:cs="华文仿宋" w:hint="eastAsia"/>
          <w:color w:val="000000"/>
          <w:kern w:val="0"/>
          <w:sz w:val="32"/>
          <w:szCs w:val="32"/>
        </w:rPr>
        <w:t>解</w:t>
      </w:r>
      <w:r>
        <w:rPr>
          <w:rFonts w:ascii="仿宋_GB2312" w:eastAsia="仿宋_GB2312" w:hAnsi="华文中宋" w:cs="华文仿宋"/>
          <w:color w:val="000000"/>
          <w:kern w:val="0"/>
          <w:sz w:val="32"/>
          <w:szCs w:val="32"/>
        </w:rPr>
        <w:t>体育</w:t>
      </w:r>
      <w:r>
        <w:rPr>
          <w:rFonts w:ascii="仿宋_GB2312" w:eastAsia="仿宋_GB2312" w:hAnsi="华文中宋" w:cs="华文仿宋" w:hint="eastAsia"/>
          <w:color w:val="000000"/>
          <w:kern w:val="0"/>
          <w:sz w:val="32"/>
          <w:szCs w:val="32"/>
        </w:rPr>
        <w:t>具有</w:t>
      </w:r>
      <w:r>
        <w:rPr>
          <w:rFonts w:ascii="仿宋_GB2312" w:eastAsia="仿宋_GB2312" w:hAnsi="华文中宋" w:cs="华文仿宋"/>
          <w:color w:val="000000"/>
          <w:kern w:val="0"/>
          <w:sz w:val="32"/>
          <w:szCs w:val="32"/>
        </w:rPr>
        <w:t>为经济建设、国防建设和社会发展服务</w:t>
      </w:r>
      <w:r>
        <w:rPr>
          <w:rFonts w:ascii="仿宋_GB2312" w:eastAsia="仿宋_GB2312" w:hAnsi="华文中宋" w:cs="华文仿宋" w:hint="eastAsia"/>
          <w:color w:val="000000"/>
          <w:kern w:val="0"/>
          <w:sz w:val="32"/>
          <w:szCs w:val="32"/>
        </w:rPr>
        <w:t>的综合职能，体育无形资产价值不仅体现在</w:t>
      </w:r>
      <w:r>
        <w:rPr>
          <w:rFonts w:ascii="仿宋_GB2312" w:eastAsia="仿宋_GB2312" w:hAnsi="华文中宋" w:cs="华文仿宋"/>
          <w:color w:val="000000"/>
          <w:kern w:val="0"/>
          <w:sz w:val="32"/>
          <w:szCs w:val="32"/>
        </w:rPr>
        <w:t>社会主义物质文明</w:t>
      </w:r>
      <w:r>
        <w:rPr>
          <w:rFonts w:ascii="仿宋_GB2312" w:eastAsia="仿宋_GB2312" w:hAnsi="华文中宋" w:cs="华文仿宋" w:hint="eastAsia"/>
          <w:color w:val="000000"/>
          <w:kern w:val="0"/>
          <w:sz w:val="32"/>
          <w:szCs w:val="32"/>
        </w:rPr>
        <w:t>建设领域，也包括</w:t>
      </w:r>
      <w:r>
        <w:rPr>
          <w:rFonts w:ascii="仿宋_GB2312" w:eastAsia="仿宋_GB2312" w:hAnsi="华文中宋" w:cs="华文仿宋"/>
          <w:color w:val="000000"/>
          <w:kern w:val="0"/>
          <w:sz w:val="32"/>
          <w:szCs w:val="32"/>
        </w:rPr>
        <w:t>精神文明建设</w:t>
      </w:r>
      <w:r>
        <w:rPr>
          <w:rFonts w:ascii="仿宋_GB2312" w:eastAsia="仿宋_GB2312" w:hAnsi="华文中宋" w:cs="华文仿宋" w:hint="eastAsia"/>
          <w:color w:val="000000"/>
          <w:kern w:val="0"/>
          <w:sz w:val="32"/>
          <w:szCs w:val="32"/>
        </w:rPr>
        <w:t>领域。对竞技体育、群众体育等无形资产进行评估时，应当关注体育所产生的社会效益对其</w:t>
      </w:r>
      <w:r>
        <w:rPr>
          <w:rFonts w:ascii="仿宋_GB2312" w:eastAsia="仿宋_GB2312" w:hAnsi="华文中宋" w:hint="eastAsia"/>
          <w:color w:val="000000"/>
          <w:sz w:val="32"/>
          <w:szCs w:val="32"/>
        </w:rPr>
        <w:t>价值的影响。</w:t>
      </w:r>
    </w:p>
    <w:p w14:paraId="21E5D25D" w14:textId="6985911E" w:rsidR="00126855" w:rsidRDefault="0079082C">
      <w:pPr>
        <w:ind w:firstLineChars="200" w:firstLine="643"/>
        <w:rPr>
          <w:rFonts w:ascii="仿宋_GB2312" w:eastAsia="仿宋_GB2312" w:hAnsi="仿宋"/>
          <w:b/>
          <w:sz w:val="32"/>
          <w:szCs w:val="32"/>
        </w:rPr>
      </w:pPr>
      <w:r>
        <w:rPr>
          <w:rFonts w:ascii="仿宋_GB2312" w:eastAsia="仿宋_GB2312" w:hAnsi="仿宋" w:hint="eastAsia"/>
          <w:b/>
          <w:sz w:val="32"/>
          <w:szCs w:val="32"/>
        </w:rPr>
        <w:t>（三）体育无形资产类别的划分</w:t>
      </w:r>
    </w:p>
    <w:p w14:paraId="08C3F4D5" w14:textId="77777777" w:rsidR="00126855" w:rsidRDefault="0079082C">
      <w:pPr>
        <w:ind w:firstLineChars="200" w:firstLine="640"/>
        <w:rPr>
          <w:rFonts w:ascii="仿宋_GB2312" w:eastAsia="仿宋_GB2312" w:hAnsi="仿宋"/>
          <w:sz w:val="32"/>
          <w:szCs w:val="32"/>
        </w:rPr>
      </w:pPr>
      <w:r>
        <w:rPr>
          <w:rFonts w:ascii="仿宋_GB2312" w:eastAsia="仿宋_GB2312" w:hAnsi="仿宋"/>
          <w:sz w:val="32"/>
          <w:szCs w:val="32"/>
        </w:rPr>
        <w:t>明确评估对象是执行体育无形资产评估业务的一项基本事项</w:t>
      </w:r>
      <w:r>
        <w:rPr>
          <w:rFonts w:ascii="仿宋_GB2312" w:eastAsia="仿宋_GB2312" w:hAnsi="仿宋" w:hint="eastAsia"/>
          <w:sz w:val="32"/>
          <w:szCs w:val="32"/>
        </w:rPr>
        <w:t>。《指导意见》将体育无形资产评估对象定义为“体育无形资产的财产权益，或者特定体育无形资产组合的财产权益。”</w:t>
      </w:r>
    </w:p>
    <w:p w14:paraId="609447F3" w14:textId="77777777" w:rsidR="00126855" w:rsidRDefault="0079082C">
      <w:pPr>
        <w:ind w:firstLineChars="200" w:firstLine="640"/>
        <w:rPr>
          <w:rFonts w:ascii="仿宋_GB2312" w:eastAsia="仿宋_GB2312" w:hAnsi="仿宋"/>
          <w:sz w:val="32"/>
          <w:szCs w:val="32"/>
        </w:rPr>
      </w:pPr>
      <w:r>
        <w:rPr>
          <w:rFonts w:ascii="仿宋_GB2312" w:eastAsia="仿宋_GB2312" w:hAnsi="仿宋" w:hint="eastAsia"/>
          <w:sz w:val="32"/>
          <w:szCs w:val="32"/>
        </w:rPr>
        <w:t>确定体育无形资产评估对象的关键难点在于对体育无形资产进行辨认和分类。体育无形资产除具有无形资产的一般特点外，还具有与体育产业商业模式密切相关、权利属性复杂、时效性强、价值不确定性大等特点。对体育无形资产进行辨认和分类，必须建立在对体育产业商业化运作模式和体育资源使用状况有着充分了解的基础之上。</w:t>
      </w:r>
    </w:p>
    <w:p w14:paraId="33991470" w14:textId="77777777" w:rsidR="00126855" w:rsidRDefault="0079082C">
      <w:pPr>
        <w:ind w:firstLineChars="200" w:firstLine="640"/>
        <w:rPr>
          <w:rFonts w:ascii="仿宋_GB2312" w:eastAsia="仿宋_GB2312" w:hAnsi="仿宋"/>
          <w:sz w:val="32"/>
          <w:szCs w:val="32"/>
        </w:rPr>
      </w:pPr>
      <w:r>
        <w:rPr>
          <w:rFonts w:ascii="仿宋_GB2312" w:eastAsia="仿宋_GB2312" w:hAnsi="仿宋" w:hint="eastAsia"/>
          <w:sz w:val="32"/>
          <w:szCs w:val="32"/>
        </w:rPr>
        <w:t>为充分揭示体育无形资产的本质，方便体育无形资产评估操作，《指导意见》从权利人所拥有的权利内容角度对体育无形资产进行分类。《指导意见》借鉴无形资产评估对象分类惯例，结合体育无形资产特点，采用三级分类指标描述体育无形资产，即一项无形资产可用大类、中类和小类三种指标口径进行描述，其中大类采用国际评估准则对无形资产的分</w:t>
      </w:r>
      <w:r>
        <w:rPr>
          <w:rFonts w:ascii="仿宋_GB2312" w:eastAsia="仿宋_GB2312" w:hAnsi="仿宋" w:hint="eastAsia"/>
          <w:sz w:val="32"/>
          <w:szCs w:val="32"/>
        </w:rPr>
        <w:lastRenderedPageBreak/>
        <w:t>类口径，中类采用我国评估准则对无形资产的分类口径，小类采用体育产业约定俗成的无形资产分类口径。如赛事举办权描述为“经营类（大类）-特许经营权（中类）-赛事举办权（小类）”。</w:t>
      </w:r>
    </w:p>
    <w:p w14:paraId="12B1DA64" w14:textId="441D0EF4" w:rsidR="00126855" w:rsidRDefault="0079082C">
      <w:pPr>
        <w:ind w:firstLineChars="200" w:firstLine="640"/>
        <w:rPr>
          <w:rFonts w:ascii="仿宋_GB2312" w:eastAsia="仿宋_GB2312" w:hAnsi="仿宋"/>
          <w:sz w:val="32"/>
          <w:szCs w:val="32"/>
        </w:rPr>
      </w:pPr>
      <w:r>
        <w:rPr>
          <w:rFonts w:ascii="仿宋_GB2312" w:eastAsia="仿宋_GB2312" w:hAnsi="仿宋" w:hint="eastAsia"/>
          <w:sz w:val="32"/>
          <w:szCs w:val="32"/>
        </w:rPr>
        <w:t>为了便于理解体育无形资产分类，《指导意见》以附表的形式列举了各类体育无形资产，并</w:t>
      </w:r>
      <w:proofErr w:type="gramStart"/>
      <w:r>
        <w:rPr>
          <w:rFonts w:ascii="仿宋_GB2312" w:eastAsia="仿宋_GB2312" w:hAnsi="仿宋" w:hint="eastAsia"/>
          <w:sz w:val="32"/>
          <w:szCs w:val="32"/>
        </w:rPr>
        <w:t>作出</w:t>
      </w:r>
      <w:proofErr w:type="gramEnd"/>
      <w:r>
        <w:rPr>
          <w:rFonts w:ascii="仿宋_GB2312" w:eastAsia="仿宋_GB2312" w:hAnsi="仿宋" w:hint="eastAsia"/>
          <w:sz w:val="32"/>
          <w:szCs w:val="32"/>
        </w:rPr>
        <w:t>了解释。</w:t>
      </w:r>
    </w:p>
    <w:p w14:paraId="4C13EFAA" w14:textId="29D3856D" w:rsidR="00126855" w:rsidRDefault="0079082C">
      <w:pPr>
        <w:ind w:firstLineChars="200" w:firstLine="643"/>
        <w:rPr>
          <w:rFonts w:ascii="仿宋_GB2312" w:eastAsia="仿宋_GB2312" w:hAnsi="仿宋"/>
          <w:b/>
          <w:sz w:val="32"/>
          <w:szCs w:val="32"/>
        </w:rPr>
      </w:pPr>
      <w:r>
        <w:rPr>
          <w:rFonts w:ascii="仿宋_GB2312" w:eastAsia="仿宋_GB2312" w:hAnsi="仿宋" w:hint="eastAsia"/>
          <w:b/>
          <w:sz w:val="32"/>
          <w:szCs w:val="32"/>
        </w:rPr>
        <w:t>（四）体育无形资产评估方法的运用</w:t>
      </w:r>
    </w:p>
    <w:p w14:paraId="33DE3595" w14:textId="03AB893C" w:rsidR="00126855" w:rsidRDefault="0079082C">
      <w:pPr>
        <w:ind w:firstLineChars="200" w:firstLine="640"/>
        <w:rPr>
          <w:rFonts w:ascii="仿宋_GB2312" w:eastAsia="仿宋_GB2312" w:hAnsi="仿宋"/>
          <w:sz w:val="32"/>
          <w:szCs w:val="32"/>
        </w:rPr>
      </w:pPr>
      <w:r>
        <w:rPr>
          <w:rFonts w:ascii="仿宋_GB2312" w:eastAsia="仿宋_GB2312" w:hAnsi="仿宋" w:hint="eastAsia"/>
          <w:sz w:val="32"/>
          <w:szCs w:val="32"/>
        </w:rPr>
        <w:t>资产评估三种基本方法包括成本法、收益法、市场法，无形资产评估准则主要针对收益法中无形资产带来的预期收益、收益年限以及折现率，市场法中选择的价值乘数、可比交易价格的修正调整系数、成本法中重置成本与贬值等重要参数的估算进行规范。《指导意见》在此基础上，进一步强调了体育无形资产评估的特点，强调关注体育无形资产的商业运营模式和相关经营情况，了解体育产业无形资产的价值影响因素及其对评估值的影响。《指导意见》结合体育无形资产中常见的资产类型，重点对最常用的收益法的运用进行了规范，即参考国际评估准则中无形资产收益途径下的许可使用费节省法、增量收益法和超额收益法，提出了体育无形资产评估参数的选取原则和路径。同时，《指导意见》也结合评估实务中体育无形资产市场法评估经验，提出了交易价格修正法和价值比率修正法两种不同的评估思路，并针对体育无形资产特点，提出了常见体育无形资产的个体特征差异调整</w:t>
      </w:r>
      <w:r>
        <w:rPr>
          <w:rFonts w:ascii="仿宋_GB2312" w:eastAsia="仿宋_GB2312" w:hAnsi="仿宋" w:hint="eastAsia"/>
          <w:sz w:val="32"/>
          <w:szCs w:val="32"/>
        </w:rPr>
        <w:lastRenderedPageBreak/>
        <w:t>因素。</w:t>
      </w:r>
    </w:p>
    <w:p w14:paraId="6EBA7363" w14:textId="77777777" w:rsidR="00126855" w:rsidRDefault="00126855">
      <w:pPr>
        <w:ind w:firstLineChars="200" w:firstLine="640"/>
        <w:rPr>
          <w:rFonts w:ascii="仿宋_GB2312" w:eastAsia="仿宋_GB2312" w:hAnsi="仿宋"/>
          <w:sz w:val="32"/>
          <w:szCs w:val="32"/>
        </w:rPr>
      </w:pPr>
    </w:p>
    <w:sectPr w:rsidR="00126855" w:rsidSect="009002E9">
      <w:footerReference w:type="even" r:id="rId8"/>
      <w:footerReference w:type="default" r:id="rId9"/>
      <w:pgSz w:w="11906" w:h="16838"/>
      <w:pgMar w:top="1440" w:right="1800" w:bottom="1440" w:left="1800" w:header="851" w:footer="992" w:gutter="0"/>
      <w:pgNumType w:fmt="numberInDash" w:start="25"/>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CFBF8FA" w14:textId="77777777" w:rsidR="002977C2" w:rsidRDefault="002977C2">
      <w:r>
        <w:separator/>
      </w:r>
    </w:p>
  </w:endnote>
  <w:endnote w:type="continuationSeparator" w:id="0">
    <w:p w14:paraId="724103D3" w14:textId="77777777" w:rsidR="002977C2" w:rsidRDefault="002977C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仿宋">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华文仿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Fonts w:ascii="宋体" w:eastAsia="宋体" w:hAnsi="宋体"/>
        <w:sz w:val="28"/>
        <w:szCs w:val="28"/>
      </w:rPr>
      <w:id w:val="-1876225616"/>
      <w:docPartObj>
        <w:docPartGallery w:val="Page Numbers (Bottom of Page)"/>
        <w:docPartUnique/>
      </w:docPartObj>
    </w:sdtPr>
    <w:sdtEndPr/>
    <w:sdtContent>
      <w:p w14:paraId="00843C3D" w14:textId="7DF200CE" w:rsidR="00E75C3F" w:rsidRPr="00E75C3F" w:rsidRDefault="00E75C3F">
        <w:pPr>
          <w:pStyle w:val="a3"/>
          <w:rPr>
            <w:rFonts w:ascii="宋体" w:eastAsia="宋体" w:hAnsi="宋体"/>
            <w:sz w:val="28"/>
            <w:szCs w:val="28"/>
          </w:rPr>
        </w:pPr>
        <w:r w:rsidRPr="00E75C3F">
          <w:rPr>
            <w:rFonts w:ascii="宋体" w:eastAsia="宋体" w:hAnsi="宋体"/>
            <w:sz w:val="28"/>
            <w:szCs w:val="28"/>
          </w:rPr>
          <w:fldChar w:fldCharType="begin"/>
        </w:r>
        <w:r w:rsidRPr="00E75C3F">
          <w:rPr>
            <w:rFonts w:ascii="宋体" w:eastAsia="宋体" w:hAnsi="宋体"/>
            <w:sz w:val="28"/>
            <w:szCs w:val="28"/>
          </w:rPr>
          <w:instrText>PAGE   \* MERGEFORMAT</w:instrText>
        </w:r>
        <w:r w:rsidRPr="00E75C3F">
          <w:rPr>
            <w:rFonts w:ascii="宋体" w:eastAsia="宋体" w:hAnsi="宋体"/>
            <w:sz w:val="28"/>
            <w:szCs w:val="28"/>
          </w:rPr>
          <w:fldChar w:fldCharType="separate"/>
        </w:r>
        <w:r w:rsidRPr="00E75C3F">
          <w:rPr>
            <w:rFonts w:ascii="宋体" w:eastAsia="宋体" w:hAnsi="宋体"/>
            <w:sz w:val="28"/>
            <w:szCs w:val="28"/>
            <w:lang w:val="zh-CN"/>
          </w:rPr>
          <w:t>2</w:t>
        </w:r>
        <w:r w:rsidRPr="00E75C3F">
          <w:rPr>
            <w:rFonts w:ascii="宋体" w:eastAsia="宋体" w:hAnsi="宋体"/>
            <w:sz w:val="28"/>
            <w:szCs w:val="28"/>
          </w:rPr>
          <w:fldChar w:fldCharType="end"/>
        </w:r>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626433426"/>
      <w:docPartObj>
        <w:docPartGallery w:val="Page Numbers (Bottom of Page)"/>
        <w:docPartUnique/>
      </w:docPartObj>
    </w:sdtPr>
    <w:sdtEndPr>
      <w:rPr>
        <w:rFonts w:ascii="宋体" w:eastAsia="宋体" w:hAnsi="宋体"/>
        <w:sz w:val="28"/>
        <w:szCs w:val="28"/>
      </w:rPr>
    </w:sdtEndPr>
    <w:sdtContent>
      <w:p w14:paraId="23794A60" w14:textId="190358FA" w:rsidR="00E75C3F" w:rsidRPr="00E75C3F" w:rsidRDefault="00E75C3F">
        <w:pPr>
          <w:pStyle w:val="a3"/>
          <w:jc w:val="right"/>
          <w:rPr>
            <w:rFonts w:ascii="宋体" w:eastAsia="宋体" w:hAnsi="宋体"/>
            <w:sz w:val="28"/>
            <w:szCs w:val="28"/>
          </w:rPr>
        </w:pPr>
        <w:r w:rsidRPr="00E75C3F">
          <w:rPr>
            <w:rFonts w:ascii="宋体" w:eastAsia="宋体" w:hAnsi="宋体"/>
            <w:sz w:val="28"/>
            <w:szCs w:val="28"/>
          </w:rPr>
          <w:fldChar w:fldCharType="begin"/>
        </w:r>
        <w:r w:rsidRPr="00E75C3F">
          <w:rPr>
            <w:rFonts w:ascii="宋体" w:eastAsia="宋体" w:hAnsi="宋体"/>
            <w:sz w:val="28"/>
            <w:szCs w:val="28"/>
          </w:rPr>
          <w:instrText>PAGE   \* MERGEFORMAT</w:instrText>
        </w:r>
        <w:r w:rsidRPr="00E75C3F">
          <w:rPr>
            <w:rFonts w:ascii="宋体" w:eastAsia="宋体" w:hAnsi="宋体"/>
            <w:sz w:val="28"/>
            <w:szCs w:val="28"/>
          </w:rPr>
          <w:fldChar w:fldCharType="separate"/>
        </w:r>
        <w:r w:rsidRPr="00E75C3F">
          <w:rPr>
            <w:rFonts w:ascii="宋体" w:eastAsia="宋体" w:hAnsi="宋体"/>
            <w:sz w:val="28"/>
            <w:szCs w:val="28"/>
            <w:lang w:val="zh-CN"/>
          </w:rPr>
          <w:t>2</w:t>
        </w:r>
        <w:r w:rsidRPr="00E75C3F">
          <w:rPr>
            <w:rFonts w:ascii="宋体" w:eastAsia="宋体" w:hAnsi="宋体"/>
            <w:sz w:val="28"/>
            <w:szCs w:val="28"/>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F519D84" w14:textId="77777777" w:rsidR="002977C2" w:rsidRDefault="002977C2">
      <w:r>
        <w:separator/>
      </w:r>
    </w:p>
  </w:footnote>
  <w:footnote w:type="continuationSeparator" w:id="0">
    <w:p w14:paraId="59C37597" w14:textId="77777777" w:rsidR="002977C2" w:rsidRDefault="002977C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evenAndOddHeaders/>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90D36"/>
    <w:rsid w:val="000020F2"/>
    <w:rsid w:val="000049FF"/>
    <w:rsid w:val="00007634"/>
    <w:rsid w:val="00016188"/>
    <w:rsid w:val="00034148"/>
    <w:rsid w:val="00050D9D"/>
    <w:rsid w:val="0005615C"/>
    <w:rsid w:val="00087DFC"/>
    <w:rsid w:val="00096F8B"/>
    <w:rsid w:val="000B2329"/>
    <w:rsid w:val="000B3C04"/>
    <w:rsid w:val="000B4474"/>
    <w:rsid w:val="000D2D96"/>
    <w:rsid w:val="000D5D2C"/>
    <w:rsid w:val="000F5742"/>
    <w:rsid w:val="000F6253"/>
    <w:rsid w:val="00103B30"/>
    <w:rsid w:val="00104087"/>
    <w:rsid w:val="001069AD"/>
    <w:rsid w:val="00106A7A"/>
    <w:rsid w:val="00112834"/>
    <w:rsid w:val="00126855"/>
    <w:rsid w:val="00153ED2"/>
    <w:rsid w:val="00156388"/>
    <w:rsid w:val="001642B1"/>
    <w:rsid w:val="0017387D"/>
    <w:rsid w:val="00175B6C"/>
    <w:rsid w:val="00180A5D"/>
    <w:rsid w:val="0018312D"/>
    <w:rsid w:val="0019260C"/>
    <w:rsid w:val="00193A02"/>
    <w:rsid w:val="001A3214"/>
    <w:rsid w:val="001C3DA7"/>
    <w:rsid w:val="001D7407"/>
    <w:rsid w:val="001F4E39"/>
    <w:rsid w:val="00201E6F"/>
    <w:rsid w:val="0021526C"/>
    <w:rsid w:val="00221E19"/>
    <w:rsid w:val="00230CFC"/>
    <w:rsid w:val="002370E0"/>
    <w:rsid w:val="00242D6F"/>
    <w:rsid w:val="00255C72"/>
    <w:rsid w:val="002719AC"/>
    <w:rsid w:val="00283D51"/>
    <w:rsid w:val="0029759A"/>
    <w:rsid w:val="002977C2"/>
    <w:rsid w:val="00301517"/>
    <w:rsid w:val="0030275D"/>
    <w:rsid w:val="00304712"/>
    <w:rsid w:val="0030760C"/>
    <w:rsid w:val="0031647C"/>
    <w:rsid w:val="003164C5"/>
    <w:rsid w:val="0032474E"/>
    <w:rsid w:val="00325FF3"/>
    <w:rsid w:val="003343D2"/>
    <w:rsid w:val="00334AD7"/>
    <w:rsid w:val="00336922"/>
    <w:rsid w:val="00340BBF"/>
    <w:rsid w:val="0034575E"/>
    <w:rsid w:val="00352902"/>
    <w:rsid w:val="003642E1"/>
    <w:rsid w:val="00373DA5"/>
    <w:rsid w:val="00375FB4"/>
    <w:rsid w:val="00380885"/>
    <w:rsid w:val="0038306D"/>
    <w:rsid w:val="003938F9"/>
    <w:rsid w:val="00393A56"/>
    <w:rsid w:val="00394EEB"/>
    <w:rsid w:val="00395651"/>
    <w:rsid w:val="003A3255"/>
    <w:rsid w:val="003B1F78"/>
    <w:rsid w:val="003E4E2E"/>
    <w:rsid w:val="003E5DC1"/>
    <w:rsid w:val="004178E8"/>
    <w:rsid w:val="00426B5D"/>
    <w:rsid w:val="00444078"/>
    <w:rsid w:val="00446F79"/>
    <w:rsid w:val="00462F47"/>
    <w:rsid w:val="00474684"/>
    <w:rsid w:val="00474709"/>
    <w:rsid w:val="00474FAB"/>
    <w:rsid w:val="004B0124"/>
    <w:rsid w:val="004C521B"/>
    <w:rsid w:val="004C7627"/>
    <w:rsid w:val="004E4CEF"/>
    <w:rsid w:val="004E5C04"/>
    <w:rsid w:val="00510BCC"/>
    <w:rsid w:val="00525DD7"/>
    <w:rsid w:val="005300D4"/>
    <w:rsid w:val="005313CD"/>
    <w:rsid w:val="00560F97"/>
    <w:rsid w:val="0056503A"/>
    <w:rsid w:val="00565E41"/>
    <w:rsid w:val="005670D1"/>
    <w:rsid w:val="00581211"/>
    <w:rsid w:val="00597CD6"/>
    <w:rsid w:val="005A2F33"/>
    <w:rsid w:val="005B43F8"/>
    <w:rsid w:val="005B52D7"/>
    <w:rsid w:val="005D28BB"/>
    <w:rsid w:val="005F685B"/>
    <w:rsid w:val="0061036B"/>
    <w:rsid w:val="00622B5C"/>
    <w:rsid w:val="00625AD9"/>
    <w:rsid w:val="00636F3F"/>
    <w:rsid w:val="00660433"/>
    <w:rsid w:val="00661579"/>
    <w:rsid w:val="00687B6E"/>
    <w:rsid w:val="00690865"/>
    <w:rsid w:val="006A4157"/>
    <w:rsid w:val="006A5844"/>
    <w:rsid w:val="006B6F3E"/>
    <w:rsid w:val="006C7F8C"/>
    <w:rsid w:val="006E10D1"/>
    <w:rsid w:val="006E2F3E"/>
    <w:rsid w:val="00706C4C"/>
    <w:rsid w:val="0074115E"/>
    <w:rsid w:val="00763A03"/>
    <w:rsid w:val="0078578F"/>
    <w:rsid w:val="0079082C"/>
    <w:rsid w:val="007B1058"/>
    <w:rsid w:val="007B4F2A"/>
    <w:rsid w:val="007C0C3B"/>
    <w:rsid w:val="0080189D"/>
    <w:rsid w:val="008206D9"/>
    <w:rsid w:val="00821A1F"/>
    <w:rsid w:val="00830453"/>
    <w:rsid w:val="00834645"/>
    <w:rsid w:val="0085363E"/>
    <w:rsid w:val="0085560D"/>
    <w:rsid w:val="0086470F"/>
    <w:rsid w:val="00865ECB"/>
    <w:rsid w:val="00867C86"/>
    <w:rsid w:val="00892782"/>
    <w:rsid w:val="00894F02"/>
    <w:rsid w:val="008A1020"/>
    <w:rsid w:val="008A19C4"/>
    <w:rsid w:val="008A3098"/>
    <w:rsid w:val="008A3599"/>
    <w:rsid w:val="008A566D"/>
    <w:rsid w:val="008B372D"/>
    <w:rsid w:val="008F764E"/>
    <w:rsid w:val="009002E9"/>
    <w:rsid w:val="0091213E"/>
    <w:rsid w:val="009140FB"/>
    <w:rsid w:val="00917521"/>
    <w:rsid w:val="00920A57"/>
    <w:rsid w:val="00923651"/>
    <w:rsid w:val="00924BC7"/>
    <w:rsid w:val="00934AB2"/>
    <w:rsid w:val="00957E9C"/>
    <w:rsid w:val="00976D70"/>
    <w:rsid w:val="009909CE"/>
    <w:rsid w:val="00990D36"/>
    <w:rsid w:val="009941F7"/>
    <w:rsid w:val="009B657C"/>
    <w:rsid w:val="009B6F32"/>
    <w:rsid w:val="009C2F58"/>
    <w:rsid w:val="009F2295"/>
    <w:rsid w:val="00A01DB5"/>
    <w:rsid w:val="00A164AE"/>
    <w:rsid w:val="00A16D7F"/>
    <w:rsid w:val="00A2683B"/>
    <w:rsid w:val="00A307BC"/>
    <w:rsid w:val="00A47603"/>
    <w:rsid w:val="00A47A46"/>
    <w:rsid w:val="00A5470A"/>
    <w:rsid w:val="00A60DB8"/>
    <w:rsid w:val="00A60E00"/>
    <w:rsid w:val="00A74308"/>
    <w:rsid w:val="00A825E9"/>
    <w:rsid w:val="00A93022"/>
    <w:rsid w:val="00AB2447"/>
    <w:rsid w:val="00AF2284"/>
    <w:rsid w:val="00AF6DC6"/>
    <w:rsid w:val="00B13CDB"/>
    <w:rsid w:val="00B32B93"/>
    <w:rsid w:val="00B85EEC"/>
    <w:rsid w:val="00B90399"/>
    <w:rsid w:val="00B97585"/>
    <w:rsid w:val="00B97697"/>
    <w:rsid w:val="00BC1119"/>
    <w:rsid w:val="00BC1818"/>
    <w:rsid w:val="00BC4701"/>
    <w:rsid w:val="00BD27F0"/>
    <w:rsid w:val="00BD2E08"/>
    <w:rsid w:val="00C15396"/>
    <w:rsid w:val="00C16ABE"/>
    <w:rsid w:val="00C2581C"/>
    <w:rsid w:val="00C47D5C"/>
    <w:rsid w:val="00C52A2F"/>
    <w:rsid w:val="00C84A83"/>
    <w:rsid w:val="00C8723F"/>
    <w:rsid w:val="00CA6059"/>
    <w:rsid w:val="00CC4AD5"/>
    <w:rsid w:val="00CF03AF"/>
    <w:rsid w:val="00D07FF1"/>
    <w:rsid w:val="00D11CE2"/>
    <w:rsid w:val="00D52955"/>
    <w:rsid w:val="00D74F0E"/>
    <w:rsid w:val="00DA3BBA"/>
    <w:rsid w:val="00DD049F"/>
    <w:rsid w:val="00DD0897"/>
    <w:rsid w:val="00DD746B"/>
    <w:rsid w:val="00DE1AF7"/>
    <w:rsid w:val="00DF0749"/>
    <w:rsid w:val="00E15371"/>
    <w:rsid w:val="00E173C8"/>
    <w:rsid w:val="00E27E5F"/>
    <w:rsid w:val="00E3349C"/>
    <w:rsid w:val="00E5410E"/>
    <w:rsid w:val="00E562D5"/>
    <w:rsid w:val="00E5776D"/>
    <w:rsid w:val="00E65E80"/>
    <w:rsid w:val="00E75C3F"/>
    <w:rsid w:val="00E85C49"/>
    <w:rsid w:val="00E86A5C"/>
    <w:rsid w:val="00E95DB3"/>
    <w:rsid w:val="00EA2001"/>
    <w:rsid w:val="00EA3B8C"/>
    <w:rsid w:val="00EA6C58"/>
    <w:rsid w:val="00ED29FE"/>
    <w:rsid w:val="00ED5C84"/>
    <w:rsid w:val="00EF5A78"/>
    <w:rsid w:val="00EF74F5"/>
    <w:rsid w:val="00F01D36"/>
    <w:rsid w:val="00F13238"/>
    <w:rsid w:val="00F44C99"/>
    <w:rsid w:val="00F46C30"/>
    <w:rsid w:val="00F46E62"/>
    <w:rsid w:val="00F5162F"/>
    <w:rsid w:val="00F60601"/>
    <w:rsid w:val="00F808D7"/>
    <w:rsid w:val="00F821D0"/>
    <w:rsid w:val="00F83707"/>
    <w:rsid w:val="00F84FB1"/>
    <w:rsid w:val="00F86AA1"/>
    <w:rsid w:val="00F94632"/>
    <w:rsid w:val="00FB0513"/>
    <w:rsid w:val="00FB5436"/>
    <w:rsid w:val="00FC419E"/>
    <w:rsid w:val="00FC7E46"/>
    <w:rsid w:val="00FD3B58"/>
    <w:rsid w:val="00FF15A0"/>
    <w:rsid w:val="305A1D2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6C41BCFE"/>
  <w15:docId w15:val="{4EF05424-EEC3-41AB-B887-CD8B7EBAD5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pPr>
      <w:tabs>
        <w:tab w:val="center" w:pos="4153"/>
        <w:tab w:val="right" w:pos="8306"/>
      </w:tabs>
      <w:snapToGrid w:val="0"/>
      <w:jc w:val="left"/>
    </w:pPr>
    <w:rPr>
      <w:sz w:val="18"/>
      <w:szCs w:val="18"/>
    </w:rPr>
  </w:style>
  <w:style w:type="paragraph" w:styleId="a5">
    <w:name w:val="header"/>
    <w:basedOn w:val="a"/>
    <w:link w:val="a6"/>
    <w:uiPriority w:val="99"/>
    <w:unhideWhenUsed/>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0"/>
    <w:link w:val="a5"/>
    <w:uiPriority w:val="99"/>
    <w:rPr>
      <w:sz w:val="18"/>
      <w:szCs w:val="18"/>
    </w:rPr>
  </w:style>
  <w:style w:type="character" w:customStyle="1" w:styleId="a4">
    <w:name w:val="页脚 字符"/>
    <w:basedOn w:val="a0"/>
    <w:link w:val="a3"/>
    <w:uiPriority w:val="99"/>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13C446A5-39E9-4B70-AC04-384DC228F089}">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58</TotalTime>
  <Pages>6</Pages>
  <Words>364</Words>
  <Characters>2079</Characters>
  <Application>Microsoft Office Word</Application>
  <DocSecurity>0</DocSecurity>
  <Lines>17</Lines>
  <Paragraphs>4</Paragraphs>
  <ScaleCrop>false</ScaleCrop>
  <Company/>
  <LinksUpToDate>false</LinksUpToDate>
  <CharactersWithSpaces>2439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yqs</dc:creator>
  <cp:lastModifiedBy>刘 剑桥</cp:lastModifiedBy>
  <cp:revision>30</cp:revision>
  <cp:lastPrinted>2021-05-27T08:01:00Z</cp:lastPrinted>
  <dcterms:created xsi:type="dcterms:W3CDTF">2021-05-27T07:33:00Z</dcterms:created>
  <dcterms:modified xsi:type="dcterms:W3CDTF">2021-06-25T07:48:00Z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2052-11.1.0.10577</vt:lpwstr>
  </property>
  <property fmtid="{D5CDD505-2E9C-101B-9397-08002B2CF9AE}" pid="3" name="ICV">
    <vt:lpwstr>6DFCACE9B30C4CD7BA785481091E48FF</vt:lpwstr>
  </property>
</Properties>
</file>