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A3FEDA" w14:textId="581AFA08" w:rsidR="00D856BB" w:rsidRDefault="000A0524" w:rsidP="0092666C">
      <w:pPr>
        <w:spacing w:line="360" w:lineRule="auto"/>
        <w:rPr>
          <w:rFonts w:ascii="黑体" w:eastAsia="黑体" w:hAnsi="黑体" w:cs="黑体"/>
          <w:bCs/>
          <w:color w:val="000000"/>
          <w:sz w:val="32"/>
          <w:szCs w:val="32"/>
        </w:rPr>
      </w:pPr>
      <w:r>
        <w:rPr>
          <w:rFonts w:ascii="黑体" w:eastAsia="黑体" w:hAnsi="黑体" w:cs="黑体" w:hint="eastAsia"/>
          <w:bCs/>
          <w:color w:val="000000"/>
          <w:sz w:val="32"/>
          <w:szCs w:val="32"/>
        </w:rPr>
        <w:t>附件1</w:t>
      </w:r>
    </w:p>
    <w:p w14:paraId="4F74BE85" w14:textId="77777777" w:rsidR="00D856BB" w:rsidRPr="005E003A" w:rsidRDefault="009654E4" w:rsidP="0092666C">
      <w:pPr>
        <w:spacing w:line="360" w:lineRule="auto"/>
        <w:jc w:val="center"/>
        <w:rPr>
          <w:rFonts w:ascii="华文中宋" w:eastAsia="华文中宋" w:hAnsi="华文中宋"/>
          <w:b/>
          <w:color w:val="000000"/>
          <w:sz w:val="44"/>
          <w:szCs w:val="44"/>
        </w:rPr>
      </w:pPr>
      <w:r w:rsidRPr="005E003A">
        <w:rPr>
          <w:rFonts w:ascii="华文中宋" w:eastAsia="华文中宋" w:hAnsi="华文中宋" w:hint="eastAsia"/>
          <w:b/>
          <w:color w:val="000000"/>
          <w:sz w:val="44"/>
          <w:szCs w:val="44"/>
        </w:rPr>
        <w:t>体育无形资产评估指导意见</w:t>
      </w:r>
    </w:p>
    <w:p w14:paraId="4CBDDF8A" w14:textId="469D9E3E" w:rsidR="00D856BB" w:rsidRDefault="009654E4" w:rsidP="0092666C">
      <w:pPr>
        <w:spacing w:line="360" w:lineRule="auto"/>
        <w:jc w:val="center"/>
        <w:rPr>
          <w:rFonts w:ascii="华文中宋" w:eastAsia="华文中宋" w:hAnsi="华文中宋"/>
          <w:b/>
          <w:color w:val="000000"/>
          <w:sz w:val="44"/>
          <w:szCs w:val="44"/>
        </w:rPr>
      </w:pPr>
      <w:r w:rsidRPr="00CD6744">
        <w:rPr>
          <w:rFonts w:ascii="华文中宋" w:eastAsia="华文中宋" w:hAnsi="华文中宋" w:hint="eastAsia"/>
          <w:b/>
          <w:color w:val="000000"/>
          <w:sz w:val="44"/>
          <w:szCs w:val="44"/>
        </w:rPr>
        <w:t>（征求意见稿）</w:t>
      </w:r>
    </w:p>
    <w:p w14:paraId="2B358833" w14:textId="77777777" w:rsidR="00D856BB" w:rsidRDefault="00D856BB" w:rsidP="0092666C">
      <w:pPr>
        <w:adjustRightInd w:val="0"/>
        <w:snapToGrid w:val="0"/>
        <w:spacing w:line="360" w:lineRule="auto"/>
        <w:jc w:val="center"/>
        <w:rPr>
          <w:rFonts w:ascii="仿宋_GB2312" w:hAnsi="华文中宋"/>
          <w:color w:val="000000"/>
          <w:kern w:val="0"/>
          <w:sz w:val="44"/>
          <w:szCs w:val="44"/>
        </w:rPr>
      </w:pPr>
    </w:p>
    <w:p w14:paraId="3FB6E8EA" w14:textId="77777777" w:rsidR="00D856BB" w:rsidRPr="00105918" w:rsidRDefault="009654E4" w:rsidP="0092666C">
      <w:pPr>
        <w:pStyle w:val="3"/>
        <w:adjustRightInd w:val="0"/>
        <w:snapToGrid w:val="0"/>
        <w:spacing w:beforeLines="50" w:before="204" w:afterLines="50" w:after="204" w:line="360" w:lineRule="auto"/>
        <w:jc w:val="center"/>
        <w:rPr>
          <w:rFonts w:ascii="黑体" w:eastAsia="黑体" w:hAnsi="黑体"/>
          <w:b w:val="0"/>
          <w:bCs w:val="0"/>
        </w:rPr>
      </w:pPr>
      <w:r w:rsidRPr="00105918">
        <w:rPr>
          <w:rFonts w:ascii="黑体" w:eastAsia="黑体" w:hAnsi="黑体" w:hint="eastAsia"/>
          <w:b w:val="0"/>
          <w:bCs w:val="0"/>
        </w:rPr>
        <w:t>第一章  总则</w:t>
      </w:r>
    </w:p>
    <w:p w14:paraId="6712316C" w14:textId="77777777" w:rsidR="00D856BB" w:rsidRDefault="009654E4" w:rsidP="0092666C">
      <w:pPr>
        <w:pStyle w:val="10"/>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第一条</w:t>
      </w:r>
      <w:r>
        <w:rPr>
          <w:rFonts w:ascii="仿宋_GB2312" w:eastAsia="仿宋_GB2312" w:hAnsi="华文中宋" w:cs="华文仿宋" w:hint="eastAsia"/>
          <w:color w:val="000000"/>
          <w:kern w:val="0"/>
          <w:sz w:val="32"/>
          <w:szCs w:val="32"/>
        </w:rPr>
        <w:t xml:space="preserve">  </w:t>
      </w:r>
      <w:r>
        <w:rPr>
          <w:rFonts w:ascii="仿宋_GB2312" w:eastAsia="仿宋_GB2312" w:hAnsi="仿宋" w:hint="eastAsia"/>
          <w:sz w:val="32"/>
          <w:szCs w:val="32"/>
        </w:rPr>
        <w:t>【制定目的及依据】</w:t>
      </w:r>
      <w:r>
        <w:rPr>
          <w:rFonts w:ascii="仿宋_GB2312" w:eastAsia="仿宋_GB2312" w:hAnsi="华文中宋" w:cs="华文仿宋" w:hint="eastAsia"/>
          <w:color w:val="000000"/>
          <w:kern w:val="0"/>
          <w:sz w:val="32"/>
          <w:szCs w:val="32"/>
        </w:rPr>
        <w:t>为规范体育无形资产评估业务行为，</w:t>
      </w:r>
      <w:r>
        <w:rPr>
          <w:rFonts w:ascii="仿宋_GB2312" w:eastAsia="仿宋_GB2312" w:hAnsi="华文中宋" w:cs="华文仿宋"/>
          <w:color w:val="000000"/>
          <w:kern w:val="0"/>
          <w:sz w:val="32"/>
          <w:szCs w:val="32"/>
        </w:rPr>
        <w:t>保护资产评估当事人合法权益和公共利益，根据《资产评估执业准则</w:t>
      </w:r>
      <w:r>
        <w:rPr>
          <w:rFonts w:ascii="仿宋_GB2312" w:eastAsia="仿宋_GB2312" w:hAnsi="华文中宋" w:cs="华文仿宋"/>
          <w:color w:val="000000"/>
          <w:kern w:val="0"/>
          <w:sz w:val="32"/>
          <w:szCs w:val="32"/>
        </w:rPr>
        <w:t>——</w:t>
      </w:r>
      <w:r>
        <w:rPr>
          <w:rFonts w:ascii="仿宋_GB2312" w:eastAsia="仿宋_GB2312" w:hAnsi="华文中宋" w:cs="华文仿宋"/>
          <w:color w:val="000000"/>
          <w:kern w:val="0"/>
          <w:sz w:val="32"/>
          <w:szCs w:val="32"/>
        </w:rPr>
        <w:t>无形资产》制定本指导意见。</w:t>
      </w:r>
    </w:p>
    <w:p w14:paraId="3FFEE2F6" w14:textId="77777777" w:rsidR="00D856BB" w:rsidRDefault="009654E4" w:rsidP="0092666C">
      <w:pPr>
        <w:pStyle w:val="10"/>
        <w:autoSpaceDE w:val="0"/>
        <w:autoSpaceDN w:val="0"/>
        <w:adjustRightInd w:val="0"/>
        <w:snapToGrid w:val="0"/>
        <w:spacing w:line="360" w:lineRule="auto"/>
        <w:ind w:firstLine="643"/>
        <w:rPr>
          <w:rFonts w:ascii="仿宋_GB2312" w:eastAsia="仿宋_GB2312" w:hAnsi="仿宋"/>
          <w:sz w:val="32"/>
          <w:szCs w:val="32"/>
        </w:rPr>
      </w:pPr>
      <w:r>
        <w:rPr>
          <w:rFonts w:ascii="仿宋_GB2312" w:eastAsia="仿宋_GB2312" w:hAnsi="华文中宋" w:cs="华文仿宋" w:hint="eastAsia"/>
          <w:b/>
          <w:color w:val="000000"/>
          <w:kern w:val="0"/>
          <w:sz w:val="32"/>
          <w:szCs w:val="32"/>
        </w:rPr>
        <w:t>第二条</w:t>
      </w:r>
      <w:r>
        <w:rPr>
          <w:rFonts w:ascii="仿宋_GB2312" w:eastAsia="仿宋_GB2312" w:hAnsi="华文中宋" w:cs="华文仿宋" w:hint="eastAsia"/>
          <w:color w:val="000000"/>
          <w:kern w:val="0"/>
          <w:sz w:val="32"/>
          <w:szCs w:val="32"/>
        </w:rPr>
        <w:t xml:space="preserve">  </w:t>
      </w:r>
      <w:r>
        <w:rPr>
          <w:rFonts w:ascii="仿宋_GB2312" w:eastAsia="仿宋_GB2312" w:hAnsi="仿宋" w:hint="eastAsia"/>
          <w:sz w:val="32"/>
          <w:szCs w:val="32"/>
        </w:rPr>
        <w:t>【体育无形资产定义】本指导意见所称体育无形资产，是指由特定主体拥有或者控制的，不具有实物形态，能持续发挥作用并且能带来经济利益的体育资源。</w:t>
      </w:r>
    </w:p>
    <w:p w14:paraId="3055D255" w14:textId="77777777" w:rsidR="00D856BB" w:rsidRDefault="009654E4" w:rsidP="0092666C">
      <w:pPr>
        <w:pStyle w:val="10"/>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b/>
          <w:color w:val="000000"/>
          <w:kern w:val="0"/>
          <w:sz w:val="32"/>
          <w:szCs w:val="32"/>
        </w:rPr>
        <w:t>第三条</w:t>
      </w:r>
      <w:r>
        <w:rPr>
          <w:rFonts w:ascii="仿宋_GB2312" w:eastAsia="仿宋_GB2312" w:hAnsi="华文中宋" w:cs="华文仿宋" w:hint="eastAsia"/>
          <w:color w:val="000000"/>
          <w:kern w:val="0"/>
          <w:sz w:val="32"/>
          <w:szCs w:val="32"/>
        </w:rPr>
        <w:t xml:space="preserve">  </w:t>
      </w:r>
      <w:r>
        <w:rPr>
          <w:rFonts w:ascii="仿宋_GB2312" w:eastAsia="仿宋_GB2312" w:hAnsi="仿宋" w:hint="eastAsia"/>
          <w:sz w:val="32"/>
          <w:szCs w:val="32"/>
        </w:rPr>
        <w:t>【体育无形资产评估定义】</w:t>
      </w:r>
      <w:r>
        <w:rPr>
          <w:rFonts w:ascii="仿宋_GB2312" w:eastAsia="仿宋_GB2312" w:hAnsi="华文中宋" w:cs="华文仿宋" w:hint="eastAsia"/>
          <w:color w:val="000000"/>
          <w:kern w:val="0"/>
          <w:sz w:val="32"/>
          <w:szCs w:val="32"/>
        </w:rPr>
        <w:t>本指导意见所称体育无形资产评估，是</w:t>
      </w:r>
      <w:r>
        <w:rPr>
          <w:rFonts w:ascii="仿宋_GB2312" w:eastAsia="仿宋_GB2312" w:hAnsi="华文中宋" w:cs="华文仿宋"/>
          <w:color w:val="000000"/>
          <w:kern w:val="0"/>
          <w:sz w:val="32"/>
          <w:szCs w:val="32"/>
        </w:rPr>
        <w:t>指资产评估机构及其资产评估专业人员遵守法律、行政法规和资产评估准则，根据委托对评估基准日特定目的下的</w:t>
      </w:r>
      <w:r>
        <w:rPr>
          <w:rFonts w:ascii="仿宋_GB2312" w:eastAsia="仿宋_GB2312" w:hAnsi="华文中宋" w:cs="华文仿宋" w:hint="eastAsia"/>
          <w:color w:val="000000"/>
          <w:kern w:val="0"/>
          <w:sz w:val="32"/>
          <w:szCs w:val="32"/>
        </w:rPr>
        <w:t>体育</w:t>
      </w:r>
      <w:r>
        <w:rPr>
          <w:rFonts w:ascii="仿宋_GB2312" w:eastAsia="仿宋_GB2312" w:hAnsi="华文中宋" w:cs="华文仿宋"/>
          <w:color w:val="000000"/>
          <w:kern w:val="0"/>
          <w:sz w:val="32"/>
          <w:szCs w:val="32"/>
        </w:rPr>
        <w:t>无形资产价值进行评定和估算，并出具资产评估报告的专业服务行为。</w:t>
      </w:r>
    </w:p>
    <w:p w14:paraId="6772CDFC" w14:textId="77777777" w:rsidR="00D856BB" w:rsidRDefault="009654E4" w:rsidP="0092666C">
      <w:pPr>
        <w:pStyle w:val="10"/>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b/>
          <w:color w:val="000000"/>
          <w:kern w:val="0"/>
          <w:sz w:val="32"/>
          <w:szCs w:val="32"/>
        </w:rPr>
        <w:t>第四条</w:t>
      </w:r>
      <w:r>
        <w:rPr>
          <w:rFonts w:ascii="仿宋_GB2312" w:eastAsia="仿宋_GB2312" w:hAnsi="华文中宋" w:cs="华文仿宋" w:hint="eastAsia"/>
          <w:color w:val="000000"/>
          <w:kern w:val="0"/>
          <w:sz w:val="32"/>
          <w:szCs w:val="32"/>
        </w:rPr>
        <w:t xml:space="preserve">  </w:t>
      </w:r>
      <w:r>
        <w:rPr>
          <w:rFonts w:ascii="仿宋_GB2312" w:eastAsia="仿宋_GB2312" w:hAnsi="仿宋" w:hint="eastAsia"/>
          <w:sz w:val="32"/>
          <w:szCs w:val="32"/>
        </w:rPr>
        <w:t>【适用范围】</w:t>
      </w:r>
      <w:r>
        <w:rPr>
          <w:rFonts w:ascii="仿宋_GB2312" w:eastAsia="仿宋_GB2312" w:hAnsi="华文中宋" w:cs="华文仿宋" w:hint="eastAsia"/>
          <w:color w:val="000000"/>
          <w:kern w:val="0"/>
          <w:sz w:val="32"/>
          <w:szCs w:val="32"/>
        </w:rPr>
        <w:t>执行体育无形资产评估业务，应当遵守本指导意见。</w:t>
      </w:r>
    </w:p>
    <w:p w14:paraId="6F736CAD" w14:textId="77777777" w:rsidR="00D856BB" w:rsidRPr="00105918" w:rsidRDefault="009654E4" w:rsidP="0092666C">
      <w:pPr>
        <w:pStyle w:val="3"/>
        <w:adjustRightInd w:val="0"/>
        <w:snapToGrid w:val="0"/>
        <w:spacing w:beforeLines="50" w:before="204" w:afterLines="50" w:after="204" w:line="360" w:lineRule="auto"/>
        <w:jc w:val="center"/>
        <w:rPr>
          <w:rFonts w:ascii="黑体" w:eastAsia="黑体" w:hAnsi="黑体"/>
          <w:b w:val="0"/>
          <w:bCs w:val="0"/>
        </w:rPr>
      </w:pPr>
      <w:r w:rsidRPr="00105918">
        <w:rPr>
          <w:rFonts w:ascii="黑体" w:eastAsia="黑体" w:hAnsi="黑体" w:hint="eastAsia"/>
          <w:b w:val="0"/>
          <w:bCs w:val="0"/>
        </w:rPr>
        <w:lastRenderedPageBreak/>
        <w:t xml:space="preserve">第二章  </w:t>
      </w:r>
      <w:r w:rsidRPr="00105918">
        <w:rPr>
          <w:rFonts w:ascii="黑体" w:eastAsia="黑体" w:hAnsi="黑体"/>
          <w:b w:val="0"/>
          <w:bCs w:val="0"/>
        </w:rPr>
        <w:t>基本遵循</w:t>
      </w:r>
    </w:p>
    <w:p w14:paraId="3A1D0C81" w14:textId="77777777" w:rsidR="00D856BB" w:rsidRDefault="009654E4" w:rsidP="0092666C">
      <w:pPr>
        <w:pStyle w:val="10"/>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hint="eastAsia"/>
          <w:b/>
          <w:color w:val="000000"/>
          <w:sz w:val="32"/>
          <w:szCs w:val="32"/>
        </w:rPr>
        <w:t>第五条</w:t>
      </w:r>
      <w:r>
        <w:rPr>
          <w:rFonts w:ascii="仿宋_GB2312" w:eastAsia="仿宋_GB2312" w:hAnsi="华文中宋" w:hint="eastAsia"/>
          <w:color w:val="000000"/>
          <w:sz w:val="32"/>
          <w:szCs w:val="32"/>
        </w:rPr>
        <w:t xml:space="preserve">  【评估基本原则】</w:t>
      </w:r>
      <w:r>
        <w:rPr>
          <w:rFonts w:ascii="仿宋_GB2312" w:eastAsia="仿宋_GB2312" w:hAnsi="华文中宋" w:cs="华文仿宋" w:hint="eastAsia"/>
          <w:color w:val="000000"/>
          <w:kern w:val="0"/>
          <w:sz w:val="32"/>
          <w:szCs w:val="32"/>
        </w:rPr>
        <w:t>执行体育无形资产评估业务，</w:t>
      </w:r>
      <w:r>
        <w:rPr>
          <w:rFonts w:ascii="仿宋_GB2312" w:eastAsia="仿宋_GB2312" w:hAnsi="华文中宋" w:cs="华文仿宋"/>
          <w:color w:val="000000"/>
          <w:kern w:val="0"/>
          <w:sz w:val="32"/>
          <w:szCs w:val="32"/>
        </w:rPr>
        <w:t>应当遵守法律、行政法规的规定，坚持独立、客观、公正的原则，诚实守信，勤勉尽责，谨慎从业，遵守职业道德规范，自觉维护职业形象，不得从事损害职业形象的活动</w:t>
      </w:r>
      <w:r>
        <w:rPr>
          <w:rFonts w:ascii="仿宋_GB2312" w:eastAsia="仿宋_GB2312" w:hAnsi="华文中宋" w:cs="华文仿宋" w:hint="eastAsia"/>
          <w:color w:val="000000"/>
          <w:kern w:val="0"/>
          <w:sz w:val="32"/>
          <w:szCs w:val="32"/>
        </w:rPr>
        <w:t>。</w:t>
      </w:r>
    </w:p>
    <w:p w14:paraId="07757AD2" w14:textId="77777777" w:rsidR="00D856BB" w:rsidRDefault="009654E4" w:rsidP="0092666C">
      <w:pPr>
        <w:pStyle w:val="10"/>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hint="eastAsia"/>
          <w:b/>
          <w:color w:val="000000"/>
          <w:sz w:val="32"/>
          <w:szCs w:val="32"/>
        </w:rPr>
        <w:t>第六条</w:t>
      </w:r>
      <w:r>
        <w:rPr>
          <w:rFonts w:ascii="仿宋_GB2312" w:eastAsia="仿宋_GB2312" w:hAnsi="华文中宋" w:hint="eastAsia"/>
          <w:color w:val="000000"/>
          <w:sz w:val="32"/>
          <w:szCs w:val="32"/>
        </w:rPr>
        <w:t xml:space="preserve">  【独立性要求】</w:t>
      </w:r>
      <w:r>
        <w:rPr>
          <w:rFonts w:ascii="仿宋_GB2312" w:eastAsia="仿宋_GB2312" w:hAnsi="华文中宋" w:cs="华文仿宋" w:hint="eastAsia"/>
          <w:color w:val="000000"/>
          <w:kern w:val="0"/>
          <w:sz w:val="32"/>
          <w:szCs w:val="32"/>
        </w:rPr>
        <w:t>执行体育无形资产评估业务，</w:t>
      </w:r>
      <w:r>
        <w:rPr>
          <w:rFonts w:ascii="仿宋_GB2312" w:eastAsia="仿宋_GB2312" w:hAnsi="华文中宋"/>
          <w:color w:val="000000"/>
          <w:sz w:val="32"/>
          <w:szCs w:val="32"/>
        </w:rPr>
        <w:t>应当独立进行分析和估算并形成专业意见，拒绝委托人或者其他相关当事人的干预，不得直接以预先设定的价值作为评估结论</w:t>
      </w:r>
      <w:r>
        <w:rPr>
          <w:rFonts w:ascii="仿宋_GB2312" w:eastAsia="仿宋_GB2312" w:hAnsi="华文中宋" w:hint="eastAsia"/>
          <w:color w:val="000000"/>
          <w:sz w:val="32"/>
          <w:szCs w:val="32"/>
        </w:rPr>
        <w:t>。</w:t>
      </w:r>
    </w:p>
    <w:p w14:paraId="40F5887B" w14:textId="11FF0893" w:rsidR="00D856BB" w:rsidRDefault="009654E4" w:rsidP="0092666C">
      <w:pPr>
        <w:pStyle w:val="10"/>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hint="eastAsia"/>
          <w:b/>
          <w:color w:val="000000"/>
          <w:sz w:val="32"/>
          <w:szCs w:val="32"/>
        </w:rPr>
        <w:t>第七条</w:t>
      </w:r>
      <w:r>
        <w:rPr>
          <w:rFonts w:ascii="仿宋_GB2312" w:eastAsia="仿宋_GB2312" w:hAnsi="华文中宋" w:hint="eastAsia"/>
          <w:color w:val="000000"/>
          <w:sz w:val="32"/>
          <w:szCs w:val="32"/>
        </w:rPr>
        <w:t xml:space="preserve">  【专业能力要求】</w:t>
      </w:r>
      <w:r>
        <w:rPr>
          <w:rFonts w:ascii="仿宋_GB2312" w:eastAsia="仿宋_GB2312" w:hAnsi="华文中宋" w:cs="华文仿宋" w:hint="eastAsia"/>
          <w:color w:val="000000"/>
          <w:kern w:val="0"/>
          <w:sz w:val="32"/>
          <w:szCs w:val="32"/>
        </w:rPr>
        <w:t>执行体育无形资产评估业务，</w:t>
      </w:r>
      <w:r>
        <w:rPr>
          <w:rFonts w:ascii="仿宋_GB2312" w:eastAsia="仿宋_GB2312" w:hAnsi="华文中宋" w:hint="eastAsia"/>
          <w:color w:val="000000"/>
          <w:sz w:val="32"/>
          <w:szCs w:val="32"/>
        </w:rPr>
        <w:t>应当具备体育</w:t>
      </w:r>
      <w:r>
        <w:rPr>
          <w:rFonts w:ascii="仿宋_GB2312" w:eastAsia="仿宋_GB2312" w:hAnsi="华文中宋" w:cs="华文仿宋" w:hint="eastAsia"/>
          <w:color w:val="000000"/>
          <w:kern w:val="0"/>
          <w:sz w:val="32"/>
          <w:szCs w:val="32"/>
        </w:rPr>
        <w:t>无形资产评估</w:t>
      </w:r>
      <w:r>
        <w:rPr>
          <w:rFonts w:ascii="仿宋_GB2312" w:eastAsia="仿宋_GB2312" w:hAnsi="华文中宋" w:cs="华文仿宋"/>
          <w:color w:val="000000"/>
          <w:kern w:val="0"/>
          <w:sz w:val="32"/>
          <w:szCs w:val="32"/>
        </w:rPr>
        <w:t>的专业知识和实践经验，能够胜任所执行的业务。</w:t>
      </w:r>
    </w:p>
    <w:p w14:paraId="2681A762" w14:textId="7FF8A1FA" w:rsidR="00D856BB" w:rsidRDefault="009654E4" w:rsidP="0092666C">
      <w:pPr>
        <w:pStyle w:val="10"/>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执行某项特定业务缺乏特定的专业知识和经验时，应当采取弥补措施，包括利用专家工作及相关报告等</w:t>
      </w:r>
      <w:r>
        <w:rPr>
          <w:rFonts w:ascii="仿宋_GB2312" w:eastAsia="仿宋_GB2312" w:hAnsi="华文中宋" w:cs="华文仿宋" w:hint="eastAsia"/>
          <w:color w:val="000000"/>
          <w:kern w:val="0"/>
          <w:sz w:val="32"/>
          <w:szCs w:val="32"/>
        </w:rPr>
        <w:t>。</w:t>
      </w:r>
    </w:p>
    <w:p w14:paraId="56FF2621" w14:textId="77777777" w:rsidR="00D856BB" w:rsidRDefault="009654E4" w:rsidP="0092666C">
      <w:pPr>
        <w:pStyle w:val="10"/>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hint="eastAsia"/>
          <w:b/>
          <w:color w:val="000000"/>
          <w:sz w:val="32"/>
          <w:szCs w:val="32"/>
        </w:rPr>
        <w:t>第八条</w:t>
      </w:r>
      <w:r>
        <w:rPr>
          <w:rFonts w:ascii="仿宋_GB2312" w:eastAsia="仿宋_GB2312" w:hAnsi="华文中宋" w:hint="eastAsia"/>
          <w:color w:val="000000"/>
          <w:sz w:val="32"/>
          <w:szCs w:val="32"/>
        </w:rPr>
        <w:t xml:space="preserve">  【单项资产与企业价值评估业务区别】</w:t>
      </w:r>
      <w:r>
        <w:rPr>
          <w:rFonts w:ascii="仿宋_GB2312" w:eastAsia="仿宋_GB2312" w:hAnsi="华文中宋" w:cs="华文仿宋" w:hint="eastAsia"/>
          <w:color w:val="000000"/>
          <w:kern w:val="0"/>
          <w:sz w:val="32"/>
          <w:szCs w:val="32"/>
        </w:rPr>
        <w:t>执行体育无形资产评估业务，应当区分</w:t>
      </w:r>
      <w:r>
        <w:rPr>
          <w:rFonts w:ascii="仿宋_GB2312" w:eastAsia="仿宋_GB2312" w:hAnsi="华文中宋" w:hint="eastAsia"/>
          <w:color w:val="000000"/>
          <w:sz w:val="32"/>
          <w:szCs w:val="32"/>
        </w:rPr>
        <w:t>单项资产评估业务中的体育无形资产评估和企业</w:t>
      </w:r>
      <w:r>
        <w:rPr>
          <w:rFonts w:ascii="仿宋_GB2312" w:eastAsia="仿宋_GB2312" w:hAnsi="华文中宋" w:cs="华文仿宋" w:hint="eastAsia"/>
          <w:color w:val="000000"/>
          <w:kern w:val="0"/>
          <w:sz w:val="32"/>
          <w:szCs w:val="32"/>
        </w:rPr>
        <w:t>价值评估业务</w:t>
      </w:r>
      <w:r>
        <w:rPr>
          <w:rFonts w:ascii="仿宋_GB2312" w:eastAsia="仿宋_GB2312" w:hAnsi="华文中宋" w:hint="eastAsia"/>
          <w:color w:val="000000"/>
          <w:sz w:val="32"/>
          <w:szCs w:val="32"/>
        </w:rPr>
        <w:t>中的无形资产评估两类业务的区别</w:t>
      </w:r>
      <w:r>
        <w:rPr>
          <w:rFonts w:ascii="仿宋_GB2312" w:eastAsia="仿宋_GB2312" w:hAnsi="华文中宋" w:cs="华文仿宋" w:hint="eastAsia"/>
          <w:color w:val="000000"/>
          <w:kern w:val="0"/>
          <w:sz w:val="32"/>
          <w:szCs w:val="32"/>
        </w:rPr>
        <w:t>。</w:t>
      </w:r>
    </w:p>
    <w:p w14:paraId="15669D6D" w14:textId="157C963F" w:rsidR="00D856BB" w:rsidRDefault="009654E4" w:rsidP="0092666C">
      <w:pPr>
        <w:autoSpaceDE w:val="0"/>
        <w:autoSpaceDN w:val="0"/>
        <w:adjustRightInd w:val="0"/>
        <w:snapToGrid w:val="0"/>
        <w:spacing w:line="360" w:lineRule="auto"/>
        <w:ind w:firstLineChars="202" w:firstLine="646"/>
        <w:rPr>
          <w:rFonts w:ascii="仿宋_GB2312" w:eastAsia="仿宋_GB2312" w:hAnsi="华文中宋"/>
          <w:color w:val="000000"/>
          <w:sz w:val="32"/>
          <w:szCs w:val="32"/>
        </w:rPr>
      </w:pPr>
      <w:r>
        <w:rPr>
          <w:rFonts w:ascii="仿宋_GB2312" w:eastAsia="仿宋_GB2312" w:hAnsi="华文中宋"/>
          <w:color w:val="000000"/>
          <w:sz w:val="32"/>
          <w:szCs w:val="32"/>
        </w:rPr>
        <w:t>在对持续经营前提下的企业价值进行评估时，</w:t>
      </w:r>
      <w:r>
        <w:rPr>
          <w:rFonts w:ascii="仿宋_GB2312" w:eastAsia="仿宋_GB2312" w:hAnsi="华文中宋" w:hint="eastAsia"/>
          <w:color w:val="000000"/>
          <w:sz w:val="32"/>
          <w:szCs w:val="32"/>
        </w:rPr>
        <w:t>体育</w:t>
      </w:r>
      <w:r>
        <w:rPr>
          <w:rFonts w:ascii="仿宋_GB2312" w:eastAsia="仿宋_GB2312" w:hAnsi="华文中宋"/>
          <w:color w:val="000000"/>
          <w:sz w:val="32"/>
          <w:szCs w:val="32"/>
        </w:rPr>
        <w:t>无形资产作为企业资产组成部分的价值可能有别于作为单项资产的价值，其价值取决于</w:t>
      </w:r>
      <w:r w:rsidR="00D31A51" w:rsidRPr="00FE7982">
        <w:rPr>
          <w:rFonts w:ascii="仿宋_GB2312" w:eastAsia="仿宋_GB2312" w:hAnsi="华文中宋" w:hint="eastAsia"/>
          <w:color w:val="000000"/>
          <w:sz w:val="32"/>
          <w:szCs w:val="32"/>
        </w:rPr>
        <w:t>该资产</w:t>
      </w:r>
      <w:r w:rsidRPr="00FE7982">
        <w:rPr>
          <w:rFonts w:ascii="仿宋_GB2312" w:eastAsia="仿宋_GB2312" w:hAnsi="华文中宋"/>
          <w:color w:val="000000"/>
          <w:sz w:val="32"/>
          <w:szCs w:val="32"/>
        </w:rPr>
        <w:t>在现</w:t>
      </w:r>
      <w:r w:rsidR="00FE7982" w:rsidRPr="00FE7982">
        <w:rPr>
          <w:rFonts w:ascii="仿宋_GB2312" w:eastAsia="仿宋_GB2312" w:hAnsi="华文中宋" w:hint="eastAsia"/>
          <w:color w:val="000000"/>
          <w:sz w:val="32"/>
          <w:szCs w:val="32"/>
        </w:rPr>
        <w:t>有</w:t>
      </w:r>
      <w:r w:rsidRPr="00FE7982">
        <w:rPr>
          <w:rFonts w:ascii="仿宋_GB2312" w:eastAsia="仿宋_GB2312" w:hAnsi="华文中宋"/>
          <w:color w:val="000000"/>
          <w:sz w:val="32"/>
          <w:szCs w:val="32"/>
        </w:rPr>
        <w:t>用途前</w:t>
      </w:r>
      <w:r>
        <w:rPr>
          <w:rFonts w:ascii="仿宋_GB2312" w:eastAsia="仿宋_GB2312" w:hAnsi="华文中宋"/>
          <w:color w:val="000000"/>
          <w:sz w:val="32"/>
          <w:szCs w:val="32"/>
        </w:rPr>
        <w:t>提下对企业价值的贡献程度。</w:t>
      </w:r>
    </w:p>
    <w:p w14:paraId="1CB2257B" w14:textId="77777777" w:rsidR="00D856BB" w:rsidRPr="00105918" w:rsidRDefault="009654E4" w:rsidP="0092666C">
      <w:pPr>
        <w:pStyle w:val="3"/>
        <w:adjustRightInd w:val="0"/>
        <w:snapToGrid w:val="0"/>
        <w:spacing w:beforeLines="50" w:before="204" w:afterLines="50" w:after="204" w:line="360" w:lineRule="auto"/>
        <w:jc w:val="center"/>
        <w:rPr>
          <w:rFonts w:ascii="黑体" w:eastAsia="黑体" w:hAnsi="黑体"/>
          <w:b w:val="0"/>
          <w:bCs w:val="0"/>
        </w:rPr>
      </w:pPr>
      <w:r w:rsidRPr="00105918">
        <w:rPr>
          <w:rFonts w:ascii="黑体" w:eastAsia="黑体" w:hAnsi="黑体" w:hint="eastAsia"/>
          <w:b w:val="0"/>
          <w:bCs w:val="0"/>
        </w:rPr>
        <w:lastRenderedPageBreak/>
        <w:t>第三章  评估对象和范围</w:t>
      </w:r>
    </w:p>
    <w:p w14:paraId="7954B313"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第九条</w:t>
      </w:r>
      <w:r>
        <w:rPr>
          <w:rFonts w:ascii="仿宋_GB2312" w:eastAsia="仿宋_GB2312" w:hAnsi="华文中宋" w:cs="华文仿宋" w:hint="eastAsia"/>
          <w:color w:val="000000"/>
          <w:kern w:val="0"/>
          <w:sz w:val="32"/>
          <w:szCs w:val="32"/>
        </w:rPr>
        <w:t xml:space="preserve">  【评估对象的确定与定义】执行体育无形资产评估业务，应当要求委托人明确评估对象。</w:t>
      </w:r>
    </w:p>
    <w:p w14:paraId="4166E679" w14:textId="77777777" w:rsidR="00D856BB" w:rsidRDefault="009654E4" w:rsidP="0092666C">
      <w:pPr>
        <w:autoSpaceDE w:val="0"/>
        <w:autoSpaceDN w:val="0"/>
        <w:adjustRightInd w:val="0"/>
        <w:snapToGrid w:val="0"/>
        <w:spacing w:line="360" w:lineRule="auto"/>
        <w:ind w:firstLineChars="202" w:firstLine="646"/>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体育无形资产评估对象，是指体育无形资产的财产权益，或者特定体育无形资产组合的财产权益。</w:t>
      </w:r>
    </w:p>
    <w:p w14:paraId="23A4927D" w14:textId="77777777" w:rsidR="00D856BB" w:rsidRDefault="009654E4" w:rsidP="0092666C">
      <w:pPr>
        <w:autoSpaceDE w:val="0"/>
        <w:autoSpaceDN w:val="0"/>
        <w:adjustRightInd w:val="0"/>
        <w:snapToGrid w:val="0"/>
        <w:spacing w:line="360" w:lineRule="auto"/>
        <w:ind w:firstLineChars="202" w:firstLine="649"/>
        <w:rPr>
          <w:rFonts w:ascii="仿宋_GB2312" w:eastAsia="仿宋_GB2312" w:hAnsi="华文中宋"/>
          <w:color w:val="000000"/>
          <w:sz w:val="32"/>
          <w:szCs w:val="32"/>
        </w:rPr>
      </w:pPr>
      <w:r>
        <w:rPr>
          <w:rFonts w:ascii="仿宋_GB2312" w:eastAsia="仿宋_GB2312" w:hAnsi="华文中宋" w:cs="华文仿宋" w:hint="eastAsia"/>
          <w:b/>
          <w:color w:val="000000"/>
          <w:kern w:val="0"/>
          <w:sz w:val="32"/>
          <w:szCs w:val="32"/>
        </w:rPr>
        <w:t>第十条</w:t>
      </w:r>
      <w:r>
        <w:rPr>
          <w:rFonts w:ascii="仿宋_GB2312" w:eastAsia="仿宋_GB2312" w:hAnsi="华文中宋" w:cs="华文仿宋" w:hint="eastAsia"/>
          <w:color w:val="000000"/>
          <w:kern w:val="0"/>
          <w:sz w:val="32"/>
          <w:szCs w:val="32"/>
        </w:rPr>
        <w:t xml:space="preserve">  【体育无形资产分类】体育无形资产分为可辨认体育无形资产和不可辨认体育无形资产。</w:t>
      </w:r>
    </w:p>
    <w:p w14:paraId="7B9499C7"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可辨认体育无形资产包括著作权、商标权或者标志权、专利权、专有技术、客户关系、特许经营权、合同权益、域名等。</w:t>
      </w:r>
    </w:p>
    <w:p w14:paraId="0EDC555E"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不可辨认体育无形资产是指商誉，通常源自体育组织优越的地理位置、高素质的人才队伍、独特的组织文化等与同行相比具备的优势。</w:t>
      </w:r>
    </w:p>
    <w:p w14:paraId="35C3A42E"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第十一条</w:t>
      </w:r>
      <w:r>
        <w:rPr>
          <w:rFonts w:ascii="仿宋_GB2312" w:eastAsia="仿宋_GB2312" w:hAnsi="华文中宋" w:cs="华文仿宋" w:hint="eastAsia"/>
          <w:color w:val="000000"/>
          <w:kern w:val="0"/>
          <w:sz w:val="32"/>
          <w:szCs w:val="32"/>
        </w:rPr>
        <w:t xml:space="preserve">  各项可辨认体育无形资产可以结合体育产业业务特征，分别归纳为知识产权类无形资产、经营类无形资产和关系类无形资产。</w:t>
      </w:r>
    </w:p>
    <w:p w14:paraId="2D7E58EC"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知识产权类体育无形资产通常表现为著作权、商标权、专利权、专有技术和域名等形式，具体包括体育赛事的电台广播权、电视转播权和信息网络传播权，体育组织的商标权或者标志权，体育产品和体育活动方法的专利权或者专有技术，体育组织的域名、体育数据资产等。</w:t>
      </w:r>
    </w:p>
    <w:p w14:paraId="28B0A197"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（二）经营类体育无形资产通常表现为特许经营权，具</w:t>
      </w:r>
      <w:r>
        <w:rPr>
          <w:rFonts w:ascii="仿宋_GB2312" w:eastAsia="仿宋_GB2312" w:hAnsi="华文中宋" w:cs="华文仿宋" w:hint="eastAsia"/>
          <w:color w:val="000000"/>
          <w:kern w:val="0"/>
          <w:sz w:val="32"/>
          <w:szCs w:val="32"/>
        </w:rPr>
        <w:lastRenderedPageBreak/>
        <w:t>体包括体育赛事的举办权、冠名权、广告发布权、赞助商称号，体育场馆的冠名权、广告发布权，教练员、运动员个人的商务开发权等。</w:t>
      </w:r>
    </w:p>
    <w:p w14:paraId="1B33F12E" w14:textId="679CB504"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（三）关系类体育无形资产通常表现为合同权益和客户关系等形式，具体包括体育组织的运动员、教练员等技能人才的经纪、代理合同权益，体育组织的会员名单，体育赛事的赞助</w:t>
      </w:r>
      <w:proofErr w:type="gramStart"/>
      <w:r>
        <w:rPr>
          <w:rFonts w:ascii="仿宋_GB2312" w:eastAsia="仿宋_GB2312" w:hAnsi="华文中宋" w:cs="华文仿宋" w:hint="eastAsia"/>
          <w:color w:val="000000"/>
          <w:kern w:val="0"/>
          <w:sz w:val="32"/>
          <w:szCs w:val="32"/>
        </w:rPr>
        <w:t>商资源</w:t>
      </w:r>
      <w:proofErr w:type="gramEnd"/>
      <w:r>
        <w:rPr>
          <w:rFonts w:ascii="仿宋_GB2312" w:eastAsia="仿宋_GB2312" w:hAnsi="华文中宋" w:cs="华文仿宋" w:hint="eastAsia"/>
          <w:color w:val="000000"/>
          <w:kern w:val="0"/>
          <w:sz w:val="32"/>
          <w:szCs w:val="32"/>
        </w:rPr>
        <w:t>等。</w:t>
      </w:r>
    </w:p>
    <w:p w14:paraId="32B82497" w14:textId="0A8EAFAC" w:rsidR="00D856BB" w:rsidRDefault="009654E4" w:rsidP="0092666C">
      <w:pPr>
        <w:autoSpaceDE w:val="0"/>
        <w:autoSpaceDN w:val="0"/>
        <w:adjustRightInd w:val="0"/>
        <w:snapToGrid w:val="0"/>
        <w:spacing w:line="360" w:lineRule="auto"/>
        <w:ind w:firstLineChars="200"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第十二条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【体育无形资产分离与组合】</w:t>
      </w:r>
      <w:r>
        <w:rPr>
          <w:rFonts w:ascii="仿宋_GB2312" w:eastAsia="仿宋_GB2312" w:hAnsi="华文中宋" w:cs="华文仿宋"/>
          <w:color w:val="000000"/>
          <w:kern w:val="0"/>
          <w:sz w:val="32"/>
          <w:szCs w:val="32"/>
        </w:rPr>
        <w:t>执行</w:t>
      </w:r>
      <w:r>
        <w:rPr>
          <w:rFonts w:ascii="仿宋_GB2312" w:eastAsia="仿宋_GB2312" w:hAnsi="华文中宋" w:cs="华文仿宋" w:hint="eastAsia"/>
          <w:color w:val="000000"/>
          <w:kern w:val="0"/>
          <w:sz w:val="32"/>
          <w:szCs w:val="32"/>
        </w:rPr>
        <w:t>体育无形</w:t>
      </w:r>
      <w:r>
        <w:rPr>
          <w:rFonts w:ascii="仿宋_GB2312" w:eastAsia="仿宋_GB2312" w:hAnsi="华文中宋" w:cs="华文仿宋"/>
          <w:color w:val="000000"/>
          <w:kern w:val="0"/>
          <w:sz w:val="32"/>
          <w:szCs w:val="32"/>
        </w:rPr>
        <w:t>资产评估业务，</w:t>
      </w:r>
      <w:r>
        <w:rPr>
          <w:rFonts w:ascii="仿宋_GB2312" w:eastAsia="仿宋_GB2312" w:hAnsi="华文中宋" w:cs="华文仿宋" w:hint="eastAsia"/>
          <w:color w:val="000000"/>
          <w:kern w:val="0"/>
          <w:sz w:val="32"/>
          <w:szCs w:val="32"/>
        </w:rPr>
        <w:t>涉及多项无形资产的，</w:t>
      </w:r>
      <w:r>
        <w:rPr>
          <w:rFonts w:ascii="仿宋_GB2312" w:eastAsia="仿宋_GB2312" w:hAnsi="华文中宋" w:cs="华文仿宋"/>
          <w:color w:val="000000"/>
          <w:kern w:val="0"/>
          <w:sz w:val="32"/>
          <w:szCs w:val="32"/>
        </w:rPr>
        <w:t>应当要求委托人根据</w:t>
      </w:r>
      <w:r>
        <w:rPr>
          <w:rFonts w:ascii="仿宋_GB2312" w:eastAsia="仿宋_GB2312" w:hAnsi="华文中宋" w:cs="华文仿宋" w:hint="eastAsia"/>
          <w:color w:val="000000"/>
          <w:kern w:val="0"/>
          <w:sz w:val="32"/>
          <w:szCs w:val="32"/>
        </w:rPr>
        <w:t>无形资产</w:t>
      </w:r>
      <w:r>
        <w:rPr>
          <w:rFonts w:ascii="仿宋_GB2312" w:eastAsia="仿宋_GB2312" w:hAnsi="华文中宋" w:cs="华文仿宋"/>
          <w:color w:val="000000"/>
          <w:kern w:val="0"/>
          <w:sz w:val="32"/>
          <w:szCs w:val="32"/>
        </w:rPr>
        <w:t>的具体情况和评估目的</w:t>
      </w:r>
      <w:r>
        <w:rPr>
          <w:rFonts w:ascii="仿宋_GB2312" w:eastAsia="仿宋_GB2312" w:hAnsi="华文中宋" w:cs="华文仿宋" w:hint="eastAsia"/>
          <w:color w:val="000000"/>
          <w:kern w:val="0"/>
          <w:sz w:val="32"/>
          <w:szCs w:val="32"/>
        </w:rPr>
        <w:t>，</w:t>
      </w:r>
      <w:r>
        <w:rPr>
          <w:rFonts w:ascii="仿宋_GB2312" w:eastAsia="仿宋_GB2312" w:hAnsi="华文中宋" w:cs="华文仿宋"/>
          <w:color w:val="000000"/>
          <w:kern w:val="0"/>
          <w:sz w:val="32"/>
          <w:szCs w:val="32"/>
        </w:rPr>
        <w:t>对</w:t>
      </w:r>
      <w:r>
        <w:rPr>
          <w:rFonts w:ascii="仿宋_GB2312" w:eastAsia="仿宋_GB2312" w:hAnsi="华文中宋" w:cs="华文仿宋" w:hint="eastAsia"/>
          <w:color w:val="000000"/>
          <w:kern w:val="0"/>
          <w:sz w:val="32"/>
          <w:szCs w:val="32"/>
        </w:rPr>
        <w:t>无形</w:t>
      </w:r>
      <w:r>
        <w:rPr>
          <w:rFonts w:ascii="仿宋_GB2312" w:eastAsia="仿宋_GB2312" w:hAnsi="华文中宋" w:cs="华文仿宋"/>
          <w:color w:val="000000"/>
          <w:kern w:val="0"/>
          <w:sz w:val="32"/>
          <w:szCs w:val="32"/>
        </w:rPr>
        <w:t>资产进行合理的分离或者</w:t>
      </w:r>
      <w:r>
        <w:rPr>
          <w:rFonts w:ascii="仿宋_GB2312" w:eastAsia="仿宋_GB2312" w:hAnsi="华文中宋" w:cs="华文仿宋" w:hint="eastAsia"/>
          <w:color w:val="000000"/>
          <w:kern w:val="0"/>
          <w:sz w:val="32"/>
          <w:szCs w:val="32"/>
        </w:rPr>
        <w:t>组合</w:t>
      </w:r>
      <w:r>
        <w:rPr>
          <w:rFonts w:ascii="仿宋_GB2312" w:eastAsia="仿宋_GB2312" w:hAnsi="华文中宋" w:cs="华文仿宋"/>
          <w:color w:val="000000"/>
          <w:kern w:val="0"/>
          <w:sz w:val="32"/>
          <w:szCs w:val="32"/>
        </w:rPr>
        <w:t>。</w:t>
      </w:r>
    </w:p>
    <w:p w14:paraId="5D607524" w14:textId="77777777" w:rsidR="00D856BB" w:rsidRDefault="009654E4" w:rsidP="0092666C">
      <w:pPr>
        <w:autoSpaceDE w:val="0"/>
        <w:autoSpaceDN w:val="0"/>
        <w:adjustRightInd w:val="0"/>
        <w:snapToGrid w:val="0"/>
        <w:spacing w:line="360" w:lineRule="auto"/>
        <w:ind w:firstLineChars="200"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第十三条</w:t>
      </w:r>
      <w:r>
        <w:rPr>
          <w:rFonts w:ascii="仿宋_GB2312" w:eastAsia="仿宋_GB2312" w:hAnsi="华文中宋" w:hint="eastAsia"/>
          <w:b/>
          <w:color w:val="000000"/>
          <w:sz w:val="32"/>
          <w:szCs w:val="32"/>
        </w:rPr>
        <w:t xml:space="preserve">  </w:t>
      </w:r>
      <w:r>
        <w:rPr>
          <w:rFonts w:ascii="仿宋_GB2312" w:eastAsia="仿宋_GB2312" w:hAnsi="华文中宋" w:cs="华文仿宋" w:hint="eastAsia"/>
          <w:color w:val="000000"/>
          <w:kern w:val="0"/>
          <w:sz w:val="32"/>
          <w:szCs w:val="32"/>
        </w:rPr>
        <w:t>【法律权属和财产权利形式】执行体育无形资产评估业务，应当关注无形资产的法律权属和</w:t>
      </w:r>
      <w:r>
        <w:rPr>
          <w:rFonts w:ascii="仿宋_GB2312" w:eastAsia="仿宋_GB2312" w:hAnsi="华文中宋" w:cs="华文仿宋"/>
          <w:color w:val="000000"/>
          <w:kern w:val="0"/>
          <w:sz w:val="32"/>
          <w:szCs w:val="32"/>
        </w:rPr>
        <w:t>财产权利形式</w:t>
      </w:r>
      <w:r>
        <w:rPr>
          <w:rFonts w:ascii="仿宋_GB2312" w:eastAsia="仿宋_GB2312" w:hAnsi="华文中宋" w:cs="华文仿宋" w:hint="eastAsia"/>
          <w:color w:val="000000"/>
          <w:kern w:val="0"/>
          <w:sz w:val="32"/>
          <w:szCs w:val="32"/>
        </w:rPr>
        <w:t>。</w:t>
      </w:r>
    </w:p>
    <w:p w14:paraId="587AE06F"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（一）体育无形资产的财产权利通常受到相关法律、章程或者合同的保护。对于权属关系复杂、权属资料不完备的评估对象，应当要求委托人和其他相关当事人提供承诺函或者说明</w:t>
      </w:r>
      <w:proofErr w:type="gramStart"/>
      <w:r>
        <w:rPr>
          <w:rFonts w:ascii="仿宋_GB2312" w:eastAsia="仿宋_GB2312" w:hAnsi="华文中宋" w:cs="华文仿宋" w:hint="eastAsia"/>
          <w:color w:val="000000"/>
          <w:kern w:val="0"/>
          <w:sz w:val="32"/>
          <w:szCs w:val="32"/>
        </w:rPr>
        <w:t>函予以</w:t>
      </w:r>
      <w:proofErr w:type="gramEnd"/>
      <w:r>
        <w:rPr>
          <w:rFonts w:ascii="仿宋_GB2312" w:eastAsia="仿宋_GB2312" w:hAnsi="华文中宋" w:cs="华文仿宋" w:hint="eastAsia"/>
          <w:color w:val="000000"/>
          <w:kern w:val="0"/>
          <w:sz w:val="32"/>
          <w:szCs w:val="32"/>
        </w:rPr>
        <w:t>充分说明，并根据前述法律权属状况可能对评估结论和评估目的所对应经济行为造成的影响，考虑是否受理资产评估业务。</w:t>
      </w:r>
    </w:p>
    <w:p w14:paraId="7D00F3E9"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（二）体育无形资产的</w:t>
      </w:r>
      <w:r>
        <w:rPr>
          <w:rFonts w:ascii="仿宋_GB2312" w:eastAsia="仿宋_GB2312" w:hAnsi="华文中宋" w:cs="华文仿宋"/>
          <w:color w:val="000000"/>
          <w:kern w:val="0"/>
          <w:sz w:val="32"/>
          <w:szCs w:val="32"/>
        </w:rPr>
        <w:t>财产权利</w:t>
      </w:r>
      <w:r>
        <w:rPr>
          <w:rFonts w:ascii="仿宋_GB2312" w:eastAsia="仿宋_GB2312" w:hAnsi="华文中宋" w:cs="华文仿宋" w:hint="eastAsia"/>
          <w:color w:val="000000"/>
          <w:kern w:val="0"/>
          <w:sz w:val="32"/>
          <w:szCs w:val="32"/>
        </w:rPr>
        <w:t>分为所有权</w:t>
      </w:r>
      <w:r>
        <w:rPr>
          <w:rFonts w:ascii="仿宋_GB2312" w:eastAsia="仿宋_GB2312" w:hAnsi="华文中宋" w:cs="华文仿宋"/>
          <w:color w:val="000000"/>
          <w:kern w:val="0"/>
          <w:sz w:val="32"/>
          <w:szCs w:val="32"/>
        </w:rPr>
        <w:t>人享有的权利和许可他人使用的权利</w:t>
      </w:r>
      <w:r>
        <w:rPr>
          <w:rFonts w:ascii="仿宋_GB2312" w:eastAsia="仿宋_GB2312" w:hAnsi="华文中宋" w:cs="华文仿宋" w:hint="eastAsia"/>
          <w:color w:val="000000"/>
          <w:kern w:val="0"/>
          <w:sz w:val="32"/>
          <w:szCs w:val="32"/>
        </w:rPr>
        <w:t>，其中，</w:t>
      </w:r>
      <w:r>
        <w:rPr>
          <w:rFonts w:ascii="仿宋_GB2312" w:eastAsia="仿宋_GB2312" w:hAnsi="华文中宋" w:cs="华文仿宋"/>
          <w:color w:val="000000"/>
          <w:kern w:val="0"/>
          <w:sz w:val="32"/>
          <w:szCs w:val="32"/>
        </w:rPr>
        <w:t>许可使用</w:t>
      </w:r>
      <w:r>
        <w:rPr>
          <w:rFonts w:ascii="仿宋_GB2312" w:eastAsia="仿宋_GB2312" w:hAnsi="华文中宋" w:cs="华文仿宋" w:hint="eastAsia"/>
          <w:color w:val="000000"/>
          <w:kern w:val="0"/>
          <w:sz w:val="32"/>
          <w:szCs w:val="32"/>
        </w:rPr>
        <w:t>分为独占</w:t>
      </w:r>
      <w:r>
        <w:rPr>
          <w:rFonts w:ascii="仿宋_GB2312" w:eastAsia="仿宋_GB2312" w:hAnsi="华文中宋" w:cs="华文仿宋"/>
          <w:color w:val="000000"/>
          <w:kern w:val="0"/>
          <w:sz w:val="32"/>
          <w:szCs w:val="32"/>
        </w:rPr>
        <w:t>许可、</w:t>
      </w:r>
      <w:r>
        <w:rPr>
          <w:rFonts w:ascii="仿宋_GB2312" w:eastAsia="仿宋_GB2312" w:hAnsi="华文中宋" w:cs="华文仿宋" w:hint="eastAsia"/>
          <w:color w:val="000000"/>
          <w:kern w:val="0"/>
          <w:sz w:val="32"/>
          <w:szCs w:val="32"/>
        </w:rPr>
        <w:lastRenderedPageBreak/>
        <w:t>独家</w:t>
      </w:r>
      <w:r>
        <w:rPr>
          <w:rFonts w:ascii="仿宋_GB2312" w:eastAsia="仿宋_GB2312" w:hAnsi="华文中宋" w:cs="华文仿宋"/>
          <w:color w:val="000000"/>
          <w:kern w:val="0"/>
          <w:sz w:val="32"/>
          <w:szCs w:val="32"/>
        </w:rPr>
        <w:t>许可</w:t>
      </w:r>
      <w:r>
        <w:rPr>
          <w:rFonts w:ascii="仿宋_GB2312" w:eastAsia="仿宋_GB2312" w:hAnsi="华文中宋" w:cs="华文仿宋" w:hint="eastAsia"/>
          <w:color w:val="000000"/>
          <w:kern w:val="0"/>
          <w:sz w:val="32"/>
          <w:szCs w:val="32"/>
        </w:rPr>
        <w:t>、普通许可</w:t>
      </w:r>
      <w:r>
        <w:rPr>
          <w:rFonts w:ascii="仿宋_GB2312" w:eastAsia="仿宋_GB2312" w:hAnsi="华文中宋" w:cs="华文仿宋"/>
          <w:color w:val="000000"/>
          <w:kern w:val="0"/>
          <w:sz w:val="32"/>
          <w:szCs w:val="32"/>
        </w:rPr>
        <w:t>和</w:t>
      </w:r>
      <w:r>
        <w:rPr>
          <w:rFonts w:ascii="仿宋_GB2312" w:eastAsia="仿宋_GB2312" w:hAnsi="华文中宋" w:cs="华文仿宋" w:hint="eastAsia"/>
          <w:color w:val="000000"/>
          <w:kern w:val="0"/>
          <w:sz w:val="32"/>
          <w:szCs w:val="32"/>
        </w:rPr>
        <w:t>其他许可</w:t>
      </w:r>
      <w:r>
        <w:rPr>
          <w:rFonts w:ascii="仿宋_GB2312" w:eastAsia="仿宋_GB2312" w:hAnsi="华文中宋" w:cs="华文仿宋"/>
          <w:color w:val="000000"/>
          <w:kern w:val="0"/>
          <w:sz w:val="32"/>
          <w:szCs w:val="32"/>
        </w:rPr>
        <w:t>等</w:t>
      </w:r>
      <w:r>
        <w:rPr>
          <w:rFonts w:ascii="仿宋_GB2312" w:eastAsia="仿宋_GB2312" w:hAnsi="华文中宋" w:cs="华文仿宋" w:hint="eastAsia"/>
          <w:color w:val="000000"/>
          <w:kern w:val="0"/>
          <w:sz w:val="32"/>
          <w:szCs w:val="32"/>
        </w:rPr>
        <w:t>不同</w:t>
      </w:r>
      <w:r>
        <w:rPr>
          <w:rFonts w:ascii="仿宋_GB2312" w:eastAsia="仿宋_GB2312" w:hAnsi="华文中宋" w:cs="华文仿宋"/>
          <w:color w:val="000000"/>
          <w:kern w:val="0"/>
          <w:sz w:val="32"/>
          <w:szCs w:val="32"/>
        </w:rPr>
        <w:t>形式。</w:t>
      </w:r>
      <w:r>
        <w:rPr>
          <w:rFonts w:ascii="仿宋_GB2312" w:eastAsia="仿宋_GB2312" w:hAnsi="华文中宋" w:cs="华文仿宋" w:hint="eastAsia"/>
          <w:color w:val="000000"/>
          <w:kern w:val="0"/>
          <w:sz w:val="32"/>
          <w:szCs w:val="32"/>
        </w:rPr>
        <w:t>资产评估机构及其资产评估专业人员应当考虑体育无形资产财产权利形式对其价值的影响。</w:t>
      </w:r>
    </w:p>
    <w:p w14:paraId="289A3FEF" w14:textId="77777777" w:rsidR="00D856BB" w:rsidRDefault="009654E4" w:rsidP="0092666C">
      <w:pPr>
        <w:pStyle w:val="10"/>
        <w:tabs>
          <w:tab w:val="left" w:pos="1985"/>
        </w:tabs>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第十四条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【评估对象特征】执行体育无形资产评估业务，应当结合体育产业特点，关注体育无形资产的法律、经济、技术等特征。</w:t>
      </w:r>
    </w:p>
    <w:p w14:paraId="40938B44" w14:textId="5973F1A9" w:rsidR="00D856BB" w:rsidRDefault="009654E4" w:rsidP="0092666C">
      <w:pPr>
        <w:pStyle w:val="10"/>
        <w:tabs>
          <w:tab w:val="left" w:pos="1843"/>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w:t>
      </w:r>
      <w:r>
        <w:rPr>
          <w:rFonts w:ascii="仿宋_GB2312" w:eastAsia="仿宋_GB2312" w:hAnsi="宋体" w:cs="华文仿宋" w:hint="eastAsia"/>
          <w:color w:val="000000"/>
          <w:kern w:val="0"/>
          <w:sz w:val="32"/>
          <w:szCs w:val="32"/>
        </w:rPr>
        <w:t>）对</w:t>
      </w:r>
      <w:r>
        <w:rPr>
          <w:rFonts w:ascii="仿宋_GB2312" w:eastAsia="仿宋_GB2312" w:hAnsi="华文中宋" w:cs="华文仿宋" w:hint="eastAsia"/>
          <w:color w:val="000000"/>
          <w:kern w:val="0"/>
          <w:sz w:val="32"/>
          <w:szCs w:val="32"/>
        </w:rPr>
        <w:t>著作权资产，应当了解</w:t>
      </w:r>
      <w:r>
        <w:rPr>
          <w:rFonts w:ascii="仿宋_GB2312" w:eastAsia="仿宋_GB2312" w:hAnsi="华文中宋" w:cs="华文仿宋"/>
          <w:color w:val="000000"/>
          <w:kern w:val="0"/>
          <w:sz w:val="32"/>
          <w:szCs w:val="32"/>
        </w:rPr>
        <w:t>评估对象涉及的作品在著作权法中所属的作品类别</w:t>
      </w:r>
      <w:r>
        <w:rPr>
          <w:rFonts w:ascii="仿宋_GB2312" w:eastAsia="仿宋_GB2312" w:hAnsi="华文中宋" w:cs="华文仿宋" w:hint="eastAsia"/>
          <w:color w:val="000000"/>
          <w:kern w:val="0"/>
          <w:sz w:val="32"/>
          <w:szCs w:val="32"/>
        </w:rPr>
        <w:t>、</w:t>
      </w:r>
      <w:r>
        <w:rPr>
          <w:rFonts w:ascii="仿宋_GB2312" w:eastAsia="仿宋_GB2312" w:hAnsi="华文中宋" w:cs="华文仿宋"/>
          <w:color w:val="000000"/>
          <w:kern w:val="0"/>
          <w:sz w:val="32"/>
          <w:szCs w:val="32"/>
        </w:rPr>
        <w:t>作品的发表状况</w:t>
      </w:r>
      <w:r>
        <w:rPr>
          <w:rFonts w:ascii="仿宋_GB2312" w:eastAsia="仿宋_GB2312" w:hAnsi="华文中宋" w:cs="华文仿宋" w:hint="eastAsia"/>
          <w:color w:val="000000"/>
          <w:kern w:val="0"/>
          <w:sz w:val="32"/>
          <w:szCs w:val="32"/>
        </w:rPr>
        <w:t>与</w:t>
      </w:r>
      <w:r>
        <w:rPr>
          <w:rFonts w:ascii="仿宋_GB2312" w:eastAsia="仿宋_GB2312" w:hAnsi="华文中宋" w:cs="华文仿宋"/>
          <w:color w:val="000000"/>
          <w:kern w:val="0"/>
          <w:sz w:val="32"/>
          <w:szCs w:val="32"/>
        </w:rPr>
        <w:t>登记情况、使用</w:t>
      </w:r>
      <w:r>
        <w:rPr>
          <w:rFonts w:ascii="仿宋_GB2312" w:eastAsia="仿宋_GB2312" w:hAnsi="华文中宋" w:cs="华文仿宋" w:hint="eastAsia"/>
          <w:color w:val="000000"/>
          <w:kern w:val="0"/>
          <w:sz w:val="32"/>
          <w:szCs w:val="32"/>
        </w:rPr>
        <w:t>方式与</w:t>
      </w:r>
      <w:r>
        <w:rPr>
          <w:rFonts w:ascii="仿宋_GB2312" w:eastAsia="仿宋_GB2312" w:hAnsi="华文中宋" w:cs="华文仿宋"/>
          <w:color w:val="000000"/>
          <w:kern w:val="0"/>
          <w:sz w:val="32"/>
          <w:szCs w:val="32"/>
        </w:rPr>
        <w:t>状态</w:t>
      </w:r>
      <w:r>
        <w:rPr>
          <w:rFonts w:ascii="仿宋_GB2312" w:eastAsia="仿宋_GB2312" w:hAnsi="华文中宋" w:cs="华文仿宋" w:hint="eastAsia"/>
          <w:color w:val="000000"/>
          <w:kern w:val="0"/>
          <w:sz w:val="32"/>
          <w:szCs w:val="32"/>
        </w:rPr>
        <w:t>、财产权利类型与范围等。对体育赛事著作权资产，</w:t>
      </w:r>
      <w:r>
        <w:rPr>
          <w:rFonts w:ascii="仿宋_GB2312" w:eastAsia="仿宋_GB2312" w:hAnsi="华文中宋" w:cs="华文仿宋"/>
          <w:color w:val="000000"/>
          <w:kern w:val="0"/>
          <w:sz w:val="32"/>
          <w:szCs w:val="32"/>
        </w:rPr>
        <w:t>应当</w:t>
      </w:r>
      <w:r>
        <w:rPr>
          <w:rFonts w:ascii="仿宋_GB2312" w:eastAsia="仿宋_GB2312" w:hAnsi="华文中宋" w:cs="华文仿宋" w:hint="eastAsia"/>
          <w:color w:val="000000"/>
          <w:kern w:val="0"/>
          <w:sz w:val="32"/>
          <w:szCs w:val="32"/>
        </w:rPr>
        <w:t>特别</w:t>
      </w:r>
      <w:r>
        <w:rPr>
          <w:rFonts w:ascii="仿宋_GB2312" w:eastAsia="仿宋_GB2312" w:hAnsi="华文中宋" w:cs="华文仿宋"/>
          <w:color w:val="000000"/>
          <w:kern w:val="0"/>
          <w:sz w:val="32"/>
          <w:szCs w:val="32"/>
        </w:rPr>
        <w:t>关注</w:t>
      </w:r>
      <w:r>
        <w:rPr>
          <w:rFonts w:ascii="仿宋_GB2312" w:eastAsia="仿宋_GB2312" w:hAnsi="华文中宋" w:cs="华文仿宋" w:hint="eastAsia"/>
          <w:color w:val="000000"/>
          <w:kern w:val="0"/>
          <w:sz w:val="32"/>
          <w:szCs w:val="32"/>
        </w:rPr>
        <w:t>评估对象涉及的商业运营模式、评估对象</w:t>
      </w:r>
      <w:r>
        <w:rPr>
          <w:rFonts w:ascii="仿宋_GB2312" w:eastAsia="仿宋_GB2312" w:hAnsi="华文中宋" w:cs="华文仿宋"/>
          <w:color w:val="000000"/>
          <w:kern w:val="0"/>
          <w:sz w:val="32"/>
          <w:szCs w:val="32"/>
        </w:rPr>
        <w:t>在时间、地域</w:t>
      </w:r>
      <w:r>
        <w:rPr>
          <w:rFonts w:ascii="仿宋_GB2312" w:eastAsia="仿宋_GB2312" w:hAnsi="华文中宋" w:cs="华文仿宋" w:hint="eastAsia"/>
          <w:color w:val="000000"/>
          <w:kern w:val="0"/>
          <w:sz w:val="32"/>
          <w:szCs w:val="32"/>
        </w:rPr>
        <w:t>与</w:t>
      </w:r>
      <w:r>
        <w:rPr>
          <w:rFonts w:ascii="仿宋_GB2312" w:eastAsia="仿宋_GB2312" w:hAnsi="华文中宋" w:cs="华文仿宋"/>
          <w:color w:val="000000"/>
          <w:kern w:val="0"/>
          <w:sz w:val="32"/>
          <w:szCs w:val="32"/>
        </w:rPr>
        <w:t>其他方面的限制条件</w:t>
      </w:r>
      <w:r>
        <w:rPr>
          <w:rFonts w:ascii="仿宋_GB2312" w:eastAsia="仿宋_GB2312" w:hAnsi="华文中宋" w:cs="华文仿宋" w:hint="eastAsia"/>
          <w:color w:val="000000"/>
          <w:kern w:val="0"/>
          <w:sz w:val="32"/>
          <w:szCs w:val="32"/>
        </w:rPr>
        <w:t>，以及是否存在法律纠纷与诉讼。</w:t>
      </w:r>
    </w:p>
    <w:p w14:paraId="77528891" w14:textId="77777777" w:rsidR="00D856BB" w:rsidRDefault="009654E4" w:rsidP="0092666C">
      <w:pPr>
        <w:pStyle w:val="10"/>
        <w:tabs>
          <w:tab w:val="left" w:pos="1843"/>
          <w:tab w:val="left" w:pos="1985"/>
        </w:tabs>
        <w:autoSpaceDE w:val="0"/>
        <w:autoSpaceDN w:val="0"/>
        <w:adjustRightInd w:val="0"/>
        <w:snapToGrid w:val="0"/>
        <w:spacing w:line="360" w:lineRule="auto"/>
        <w:ind w:firstLine="640"/>
        <w:rPr>
          <w:rFonts w:ascii="仿宋_GB2312" w:eastAsia="仿宋_GB2312" w:hAnsi="宋体" w:cs="华文仿宋"/>
          <w:kern w:val="0"/>
          <w:sz w:val="32"/>
          <w:szCs w:val="32"/>
        </w:rPr>
      </w:pPr>
      <w:r>
        <w:rPr>
          <w:rFonts w:ascii="仿宋_GB2312" w:eastAsia="仿宋_GB2312" w:hAnsi="华文中宋" w:cs="华文仿宋" w:hint="eastAsia"/>
          <w:kern w:val="0"/>
          <w:sz w:val="32"/>
          <w:szCs w:val="32"/>
        </w:rPr>
        <w:t>（二</w:t>
      </w:r>
      <w:r>
        <w:rPr>
          <w:rFonts w:ascii="仿宋_GB2312" w:eastAsia="仿宋_GB2312" w:hAnsi="宋体" w:cs="华文仿宋" w:hint="eastAsia"/>
          <w:kern w:val="0"/>
          <w:sz w:val="32"/>
          <w:szCs w:val="32"/>
        </w:rPr>
        <w:t>）对商标资产和标志资产，</w:t>
      </w:r>
      <w:r>
        <w:rPr>
          <w:rFonts w:ascii="仿宋_GB2312" w:eastAsia="仿宋_GB2312" w:hAnsi="华文中宋" w:cs="华文仿宋" w:hint="eastAsia"/>
          <w:kern w:val="0"/>
          <w:sz w:val="32"/>
          <w:szCs w:val="32"/>
        </w:rPr>
        <w:t>应当了解</w:t>
      </w:r>
      <w:r>
        <w:rPr>
          <w:rFonts w:ascii="仿宋_GB2312" w:eastAsia="仿宋_GB2312" w:hAnsi="华文中宋" w:cs="华文仿宋"/>
          <w:kern w:val="0"/>
          <w:sz w:val="32"/>
          <w:szCs w:val="32"/>
        </w:rPr>
        <w:t>评估对象涉及的</w:t>
      </w:r>
      <w:r>
        <w:rPr>
          <w:rFonts w:ascii="仿宋_GB2312" w:eastAsia="仿宋_GB2312" w:hAnsi="华文中宋" w:cs="华文仿宋" w:hint="eastAsia"/>
          <w:kern w:val="0"/>
          <w:sz w:val="32"/>
          <w:szCs w:val="32"/>
        </w:rPr>
        <w:t>注册商标和标志的基本特征与说明、注册商标的注册期限与续展情况、核准的注册类别、注册商标和标志的授权使用情况、相关商品的销售与获利情况等。</w:t>
      </w:r>
    </w:p>
    <w:p w14:paraId="344E0CDA" w14:textId="77777777" w:rsidR="00D856BB" w:rsidRDefault="009654E4" w:rsidP="0092666C">
      <w:pPr>
        <w:pStyle w:val="10"/>
        <w:tabs>
          <w:tab w:val="left" w:pos="1843"/>
          <w:tab w:val="left" w:pos="1985"/>
        </w:tabs>
        <w:autoSpaceDE w:val="0"/>
        <w:autoSpaceDN w:val="0"/>
        <w:adjustRightInd w:val="0"/>
        <w:snapToGrid w:val="0"/>
        <w:spacing w:line="360" w:lineRule="auto"/>
        <w:ind w:firstLine="640"/>
        <w:rPr>
          <w:rFonts w:ascii="仿宋_GB2312" w:eastAsia="仿宋_GB2312" w:hAnsi="华文中宋" w:cs="华文仿宋"/>
          <w:kern w:val="0"/>
          <w:sz w:val="32"/>
          <w:szCs w:val="32"/>
        </w:rPr>
      </w:pPr>
      <w:r>
        <w:rPr>
          <w:rFonts w:ascii="仿宋_GB2312" w:eastAsia="仿宋_GB2312" w:hAnsi="华文中宋" w:cs="华文仿宋" w:hint="eastAsia"/>
          <w:kern w:val="0"/>
          <w:sz w:val="32"/>
          <w:szCs w:val="32"/>
        </w:rPr>
        <w:t>（三）对专利资产和专有技术资产，应当了解</w:t>
      </w:r>
      <w:r>
        <w:rPr>
          <w:rFonts w:ascii="仿宋_GB2312" w:eastAsia="仿宋_GB2312" w:hAnsi="华文中宋" w:cs="华文仿宋"/>
          <w:kern w:val="0"/>
          <w:sz w:val="32"/>
          <w:szCs w:val="32"/>
        </w:rPr>
        <w:t>评估对象涉及的</w:t>
      </w:r>
      <w:r>
        <w:rPr>
          <w:rFonts w:ascii="仿宋_GB2312" w:eastAsia="仿宋_GB2312" w:hAnsi="华文中宋" w:cs="华文仿宋" w:hint="eastAsia"/>
          <w:kern w:val="0"/>
          <w:sz w:val="32"/>
          <w:szCs w:val="32"/>
        </w:rPr>
        <w:t>技术的先进性、实用性、具体实施情况和盈利水平等。对专利资产，应当特别关注</w:t>
      </w:r>
      <w:r>
        <w:rPr>
          <w:rFonts w:ascii="仿宋_GB2312" w:eastAsia="仿宋_GB2312" w:hAnsi="华文中宋" w:cs="华文仿宋"/>
          <w:kern w:val="0"/>
          <w:sz w:val="32"/>
          <w:szCs w:val="32"/>
        </w:rPr>
        <w:t>专利权人及其变更情况</w:t>
      </w:r>
      <w:r>
        <w:rPr>
          <w:rFonts w:ascii="仿宋_GB2312" w:eastAsia="仿宋_GB2312" w:hAnsi="华文中宋" w:cs="华文仿宋" w:hint="eastAsia"/>
          <w:kern w:val="0"/>
          <w:sz w:val="32"/>
          <w:szCs w:val="32"/>
        </w:rPr>
        <w:t>、权利范围、</w:t>
      </w:r>
      <w:r>
        <w:rPr>
          <w:rFonts w:ascii="仿宋_GB2312" w:eastAsia="仿宋_GB2312" w:hAnsi="华文中宋" w:cs="华文仿宋"/>
          <w:kern w:val="0"/>
          <w:sz w:val="32"/>
          <w:szCs w:val="32"/>
        </w:rPr>
        <w:t>年费缴纳情况，以及是否</w:t>
      </w:r>
      <w:r>
        <w:rPr>
          <w:rFonts w:ascii="仿宋_GB2312" w:eastAsia="仿宋_GB2312" w:hAnsi="华文中宋" w:cs="华文仿宋" w:hint="eastAsia"/>
          <w:color w:val="000000"/>
          <w:kern w:val="0"/>
          <w:sz w:val="32"/>
          <w:szCs w:val="32"/>
        </w:rPr>
        <w:t>存在法律纠纷与诉讼</w:t>
      </w:r>
      <w:r>
        <w:rPr>
          <w:rFonts w:ascii="仿宋_GB2312" w:eastAsia="仿宋_GB2312" w:hAnsi="华文中宋" w:cs="华文仿宋"/>
          <w:kern w:val="0"/>
          <w:sz w:val="32"/>
          <w:szCs w:val="32"/>
        </w:rPr>
        <w:t>、质押</w:t>
      </w:r>
      <w:r>
        <w:rPr>
          <w:rFonts w:ascii="仿宋_GB2312" w:eastAsia="仿宋_GB2312" w:hAnsi="华文中宋" w:cs="华文仿宋" w:hint="eastAsia"/>
          <w:kern w:val="0"/>
          <w:sz w:val="32"/>
          <w:szCs w:val="32"/>
        </w:rPr>
        <w:t>等现象</w:t>
      </w:r>
      <w:r>
        <w:rPr>
          <w:rFonts w:ascii="仿宋_GB2312" w:eastAsia="仿宋_GB2312" w:hAnsi="华文中宋" w:cs="华文仿宋"/>
          <w:kern w:val="0"/>
          <w:sz w:val="32"/>
          <w:szCs w:val="32"/>
        </w:rPr>
        <w:t>。</w:t>
      </w:r>
      <w:r>
        <w:rPr>
          <w:rFonts w:ascii="仿宋_GB2312" w:eastAsia="仿宋_GB2312" w:hAnsi="华文中宋" w:cs="华文仿宋" w:hint="eastAsia"/>
          <w:kern w:val="0"/>
          <w:sz w:val="32"/>
          <w:szCs w:val="32"/>
        </w:rPr>
        <w:t>对专有技术，应当特别关注其保密状况及其采取的保护措施与效果。</w:t>
      </w:r>
    </w:p>
    <w:p w14:paraId="314FC982" w14:textId="77777777" w:rsidR="00D856BB" w:rsidRDefault="009654E4" w:rsidP="0092666C">
      <w:pPr>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lastRenderedPageBreak/>
        <w:t>（四</w:t>
      </w:r>
      <w:r>
        <w:rPr>
          <w:rFonts w:ascii="仿宋_GB2312" w:eastAsia="仿宋_GB2312" w:hAnsi="宋体" w:cs="华文仿宋" w:hint="eastAsia"/>
          <w:color w:val="000000"/>
          <w:kern w:val="0"/>
          <w:sz w:val="32"/>
          <w:szCs w:val="32"/>
        </w:rPr>
        <w:t>）</w:t>
      </w:r>
      <w:r>
        <w:rPr>
          <w:rFonts w:ascii="仿宋_GB2312" w:eastAsia="仿宋_GB2312" w:hAnsi="华文中宋" w:cs="华文仿宋" w:hint="eastAsia"/>
          <w:color w:val="000000"/>
          <w:kern w:val="0"/>
          <w:sz w:val="32"/>
          <w:szCs w:val="32"/>
        </w:rPr>
        <w:t>对特许经营权资产，应当了解特许经营权的许可方式、许可范围、许可期限、相关权利与义务的约定情况、相关产品的经营情况、发展前景等。</w:t>
      </w:r>
    </w:p>
    <w:p w14:paraId="5CF2508C" w14:textId="77777777" w:rsidR="00D856BB" w:rsidRDefault="009654E4" w:rsidP="0092666C">
      <w:pPr>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（五</w:t>
      </w:r>
      <w:r>
        <w:rPr>
          <w:rFonts w:ascii="仿宋_GB2312" w:eastAsia="仿宋_GB2312" w:hAnsi="宋体" w:cs="华文仿宋" w:hint="eastAsia"/>
          <w:color w:val="000000"/>
          <w:kern w:val="0"/>
          <w:sz w:val="32"/>
          <w:szCs w:val="32"/>
        </w:rPr>
        <w:t>）</w:t>
      </w:r>
      <w:r>
        <w:rPr>
          <w:rFonts w:ascii="仿宋_GB2312" w:eastAsia="仿宋_GB2312" w:hAnsi="华文中宋" w:cs="华文仿宋" w:hint="eastAsia"/>
          <w:color w:val="000000"/>
          <w:kern w:val="0"/>
          <w:sz w:val="32"/>
          <w:szCs w:val="32"/>
        </w:rPr>
        <w:t>对合同权益资产，应当了解合同约定的权利与义务情况、合同执行期限与范围、签约人竞争力与影响力、履约风险等。</w:t>
      </w:r>
    </w:p>
    <w:p w14:paraId="57090045" w14:textId="77777777" w:rsidR="00D856BB" w:rsidRDefault="009654E4" w:rsidP="0092666C">
      <w:pPr>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（六</w:t>
      </w:r>
      <w:r>
        <w:rPr>
          <w:rFonts w:ascii="仿宋_GB2312" w:eastAsia="仿宋_GB2312" w:hAnsi="宋体" w:cs="华文仿宋" w:hint="eastAsia"/>
          <w:color w:val="000000"/>
          <w:kern w:val="0"/>
          <w:sz w:val="32"/>
          <w:szCs w:val="32"/>
        </w:rPr>
        <w:t>）</w:t>
      </w:r>
      <w:r>
        <w:rPr>
          <w:rFonts w:ascii="仿宋_GB2312" w:eastAsia="仿宋_GB2312" w:hAnsi="华文中宋" w:cs="华文仿宋" w:hint="eastAsia"/>
          <w:color w:val="000000"/>
          <w:kern w:val="0"/>
          <w:sz w:val="32"/>
          <w:szCs w:val="32"/>
        </w:rPr>
        <w:t>对客户关系资产，应当了解客户构成情况、品牌形象、忠诚度和贡献度等。</w:t>
      </w:r>
    </w:p>
    <w:p w14:paraId="0F5C491C"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第十五条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【评估范围的确定】执行体育无形资产评估业务，应当明确评估范围</w:t>
      </w:r>
      <w:r>
        <w:rPr>
          <w:rFonts w:ascii="仿宋_GB2312" w:eastAsia="仿宋_GB2312" w:hAnsi="华文中宋" w:cs="华文仿宋" w:hint="eastAsia"/>
          <w:kern w:val="0"/>
          <w:sz w:val="32"/>
          <w:szCs w:val="32"/>
        </w:rPr>
        <w:t>。</w:t>
      </w:r>
    </w:p>
    <w:p w14:paraId="626D7C2E" w14:textId="2A7ADEE0"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评估范围应当服从评估目的和评估对象的选择。资产评估机构及其资产评估专业人员应当根据专业经验提出合理建议，最终确定</w:t>
      </w:r>
      <w:proofErr w:type="gramStart"/>
      <w:r>
        <w:rPr>
          <w:rFonts w:ascii="仿宋_GB2312" w:eastAsia="仿宋_GB2312" w:hAnsi="华文中宋" w:cs="华文仿宋" w:hint="eastAsia"/>
          <w:color w:val="000000"/>
          <w:kern w:val="0"/>
          <w:sz w:val="32"/>
          <w:szCs w:val="32"/>
        </w:rPr>
        <w:t>权在于</w:t>
      </w:r>
      <w:proofErr w:type="gramEnd"/>
      <w:r>
        <w:rPr>
          <w:rFonts w:ascii="仿宋_GB2312" w:eastAsia="仿宋_GB2312" w:hAnsi="华文中宋" w:cs="华文仿宋" w:hint="eastAsia"/>
          <w:color w:val="000000"/>
          <w:kern w:val="0"/>
          <w:sz w:val="32"/>
          <w:szCs w:val="32"/>
        </w:rPr>
        <w:t>委托人。</w:t>
      </w:r>
    </w:p>
    <w:p w14:paraId="1D41D5B7" w14:textId="77777777" w:rsidR="00D856BB" w:rsidRDefault="009654E4" w:rsidP="0092666C">
      <w:pPr>
        <w:pStyle w:val="10"/>
        <w:tabs>
          <w:tab w:val="left" w:pos="1985"/>
        </w:tabs>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第十六条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【企业价值评估范围】执行企业价值评估业务中的体育无形资产评估，应当根据会计政策、企业经营等情况，对被评估企业资产负债表表内以及表外的体育无形资产进行识别。</w:t>
      </w:r>
    </w:p>
    <w:p w14:paraId="01B0A1A1" w14:textId="77777777" w:rsidR="00D856BB" w:rsidRPr="00105918" w:rsidRDefault="009654E4" w:rsidP="0092666C">
      <w:pPr>
        <w:pStyle w:val="3"/>
        <w:adjustRightInd w:val="0"/>
        <w:snapToGrid w:val="0"/>
        <w:spacing w:beforeLines="50" w:before="204" w:afterLines="50" w:after="204" w:line="360" w:lineRule="auto"/>
        <w:jc w:val="center"/>
        <w:rPr>
          <w:rFonts w:ascii="黑体" w:eastAsia="黑体" w:hAnsi="黑体"/>
          <w:b w:val="0"/>
          <w:bCs w:val="0"/>
        </w:rPr>
      </w:pPr>
      <w:r w:rsidRPr="00105918">
        <w:rPr>
          <w:rFonts w:ascii="黑体" w:eastAsia="黑体" w:hAnsi="黑体" w:hint="eastAsia"/>
          <w:b w:val="0"/>
          <w:bCs w:val="0"/>
        </w:rPr>
        <w:t>第四章  操作要求</w:t>
      </w:r>
    </w:p>
    <w:p w14:paraId="70355049"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第十七条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bCs/>
          <w:color w:val="000000"/>
          <w:kern w:val="0"/>
          <w:sz w:val="32"/>
          <w:szCs w:val="32"/>
        </w:rPr>
        <w:t>【明确评估要素】</w:t>
      </w:r>
      <w:r>
        <w:rPr>
          <w:rFonts w:ascii="仿宋_GB2312" w:eastAsia="仿宋_GB2312" w:hAnsi="华文中宋" w:cs="华文仿宋"/>
          <w:bCs/>
          <w:color w:val="000000"/>
          <w:kern w:val="0"/>
          <w:sz w:val="32"/>
          <w:szCs w:val="32"/>
        </w:rPr>
        <w:t>执行</w:t>
      </w:r>
      <w:r>
        <w:rPr>
          <w:rFonts w:ascii="仿宋_GB2312" w:eastAsia="仿宋_GB2312" w:hAnsi="华文中宋" w:cs="华文仿宋" w:hint="eastAsia"/>
          <w:color w:val="000000"/>
          <w:kern w:val="0"/>
          <w:sz w:val="32"/>
          <w:szCs w:val="32"/>
        </w:rPr>
        <w:t>体育</w:t>
      </w:r>
      <w:r>
        <w:rPr>
          <w:rFonts w:ascii="仿宋_GB2312" w:eastAsia="仿宋_GB2312" w:hAnsi="华文中宋" w:cs="华文仿宋"/>
          <w:bCs/>
          <w:color w:val="000000"/>
          <w:kern w:val="0"/>
          <w:sz w:val="32"/>
          <w:szCs w:val="32"/>
        </w:rPr>
        <w:t>无形资产评估业务，应当明确评估目的、资产评估报告使用人</w:t>
      </w:r>
      <w:r>
        <w:rPr>
          <w:rFonts w:ascii="仿宋_GB2312" w:eastAsia="仿宋_GB2312" w:hAnsi="华文中宋" w:cs="华文仿宋" w:hint="eastAsia"/>
          <w:bCs/>
          <w:color w:val="000000"/>
          <w:kern w:val="0"/>
          <w:sz w:val="32"/>
          <w:szCs w:val="32"/>
        </w:rPr>
        <w:t>、</w:t>
      </w:r>
      <w:r>
        <w:rPr>
          <w:rFonts w:ascii="仿宋_GB2312" w:eastAsia="仿宋_GB2312" w:hAnsi="华文中宋" w:cs="华文仿宋"/>
          <w:bCs/>
          <w:color w:val="000000"/>
          <w:kern w:val="0"/>
          <w:sz w:val="32"/>
          <w:szCs w:val="32"/>
        </w:rPr>
        <w:t>评估基准日和</w:t>
      </w:r>
      <w:r>
        <w:rPr>
          <w:rFonts w:ascii="仿宋_GB2312" w:eastAsia="仿宋_GB2312" w:hAnsi="华文中宋" w:cs="华文仿宋" w:hint="eastAsia"/>
          <w:bCs/>
          <w:color w:val="000000"/>
          <w:kern w:val="0"/>
          <w:sz w:val="32"/>
          <w:szCs w:val="32"/>
        </w:rPr>
        <w:t>价值类型</w:t>
      </w:r>
      <w:r>
        <w:rPr>
          <w:rFonts w:ascii="仿宋_GB2312" w:eastAsia="仿宋_GB2312" w:hAnsi="华文中宋" w:cs="华文仿宋"/>
          <w:bCs/>
          <w:color w:val="000000"/>
          <w:kern w:val="0"/>
          <w:sz w:val="32"/>
          <w:szCs w:val="32"/>
        </w:rPr>
        <w:t>。</w:t>
      </w:r>
    </w:p>
    <w:p w14:paraId="48560692"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第十八条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【评估目的】</w:t>
      </w:r>
      <w:r>
        <w:rPr>
          <w:rFonts w:ascii="仿宋_GB2312" w:eastAsia="仿宋_GB2312" w:hAnsi="华文中宋" w:cs="华文仿宋"/>
          <w:color w:val="000000"/>
          <w:kern w:val="0"/>
          <w:sz w:val="32"/>
          <w:szCs w:val="32"/>
        </w:rPr>
        <w:t>执行</w:t>
      </w:r>
      <w:r>
        <w:rPr>
          <w:rFonts w:ascii="仿宋_GB2312" w:eastAsia="仿宋_GB2312" w:hAnsi="华文中宋" w:cs="华文仿宋" w:hint="eastAsia"/>
          <w:color w:val="000000"/>
          <w:kern w:val="0"/>
          <w:sz w:val="32"/>
          <w:szCs w:val="32"/>
        </w:rPr>
        <w:t>体育无形资产</w:t>
      </w:r>
      <w:r>
        <w:rPr>
          <w:rFonts w:ascii="仿宋_GB2312" w:eastAsia="仿宋_GB2312" w:hAnsi="华文中宋" w:cs="华文仿宋"/>
          <w:color w:val="000000"/>
          <w:kern w:val="0"/>
          <w:sz w:val="32"/>
          <w:szCs w:val="32"/>
        </w:rPr>
        <w:t>评估业务，</w:t>
      </w:r>
      <w:r>
        <w:rPr>
          <w:rFonts w:ascii="仿宋_GB2312" w:eastAsia="仿宋_GB2312" w:hAnsi="华文中宋" w:cs="华文仿宋"/>
          <w:color w:val="000000"/>
          <w:kern w:val="0"/>
          <w:sz w:val="32"/>
          <w:szCs w:val="32"/>
        </w:rPr>
        <w:lastRenderedPageBreak/>
        <w:t>应当</w:t>
      </w:r>
      <w:r>
        <w:rPr>
          <w:rFonts w:ascii="仿宋_GB2312" w:eastAsia="仿宋_GB2312" w:hAnsi="华文中宋" w:cs="华文仿宋" w:hint="eastAsia"/>
          <w:color w:val="000000"/>
          <w:kern w:val="0"/>
          <w:sz w:val="32"/>
          <w:szCs w:val="32"/>
        </w:rPr>
        <w:t>根据体育无形资产评估</w:t>
      </w:r>
      <w:r>
        <w:rPr>
          <w:rFonts w:ascii="仿宋_GB2312" w:eastAsia="仿宋_GB2312" w:hAnsi="华文中宋" w:hint="eastAsia"/>
          <w:color w:val="000000"/>
          <w:sz w:val="32"/>
          <w:szCs w:val="32"/>
        </w:rPr>
        <w:t>所涉及的经济行为确定评估目的</w:t>
      </w:r>
      <w:r>
        <w:rPr>
          <w:rFonts w:ascii="仿宋_GB2312" w:eastAsia="仿宋_GB2312" w:hAnsi="华文中宋" w:cs="华文仿宋" w:hint="eastAsia"/>
          <w:color w:val="000000"/>
          <w:kern w:val="0"/>
          <w:sz w:val="32"/>
          <w:szCs w:val="32"/>
        </w:rPr>
        <w:t>。</w:t>
      </w:r>
    </w:p>
    <w:p w14:paraId="2746D7CC"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体育无形资产</w:t>
      </w:r>
      <w:r>
        <w:rPr>
          <w:rFonts w:ascii="仿宋_GB2312" w:eastAsia="仿宋_GB2312" w:hAnsi="华文中宋" w:hint="eastAsia"/>
          <w:color w:val="000000"/>
          <w:sz w:val="32"/>
          <w:szCs w:val="32"/>
        </w:rPr>
        <w:t>评估业务所涉及的经济行为主要</w:t>
      </w:r>
      <w:r>
        <w:rPr>
          <w:rFonts w:ascii="仿宋_GB2312" w:eastAsia="仿宋_GB2312" w:hAnsi="华文中宋" w:cs="华文仿宋" w:hint="eastAsia"/>
          <w:color w:val="000000"/>
          <w:kern w:val="0"/>
          <w:sz w:val="32"/>
          <w:szCs w:val="32"/>
        </w:rPr>
        <w:t>包括质押、出资、转让、许可使用、财务报告、涉税和诉讼等。</w:t>
      </w:r>
    </w:p>
    <w:p w14:paraId="63D16EE5"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以财务报告、质押、涉税和诉讼等为目的的体育无形资产评估，会计准则、法律法规有特殊规定的，从其规定。</w:t>
      </w:r>
    </w:p>
    <w:p w14:paraId="74983376" w14:textId="500AC53F"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第十九条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【价值类型】</w:t>
      </w:r>
      <w:r>
        <w:rPr>
          <w:rFonts w:ascii="仿宋_GB2312" w:eastAsia="仿宋_GB2312" w:hAnsi="华文中宋" w:cs="华文仿宋"/>
          <w:color w:val="000000"/>
          <w:kern w:val="0"/>
          <w:sz w:val="32"/>
          <w:szCs w:val="32"/>
        </w:rPr>
        <w:t>执行</w:t>
      </w:r>
      <w:r>
        <w:rPr>
          <w:rFonts w:ascii="仿宋_GB2312" w:eastAsia="仿宋_GB2312" w:hAnsi="华文中宋" w:cs="华文仿宋" w:hint="eastAsia"/>
          <w:color w:val="000000"/>
          <w:kern w:val="0"/>
          <w:sz w:val="32"/>
          <w:szCs w:val="32"/>
        </w:rPr>
        <w:t>体育无形资产</w:t>
      </w:r>
      <w:r>
        <w:rPr>
          <w:rFonts w:ascii="仿宋_GB2312" w:eastAsia="仿宋_GB2312" w:hAnsi="华文中宋" w:cs="华文仿宋"/>
          <w:color w:val="000000"/>
          <w:kern w:val="0"/>
          <w:sz w:val="32"/>
          <w:szCs w:val="32"/>
        </w:rPr>
        <w:t>评估业务，应当在考虑评估目的</w:t>
      </w:r>
      <w:r>
        <w:rPr>
          <w:rFonts w:ascii="仿宋_GB2312" w:eastAsia="仿宋_GB2312" w:hAnsi="华文中宋" w:cs="华文仿宋" w:hint="eastAsia"/>
          <w:color w:val="000000"/>
          <w:kern w:val="0"/>
          <w:sz w:val="32"/>
          <w:szCs w:val="32"/>
        </w:rPr>
        <w:t>、市场条件、评估对象自身条件</w:t>
      </w:r>
      <w:r>
        <w:rPr>
          <w:rFonts w:ascii="仿宋_GB2312" w:eastAsia="仿宋_GB2312" w:hAnsi="华文中宋" w:cs="华文仿宋"/>
          <w:color w:val="000000"/>
          <w:kern w:val="0"/>
          <w:sz w:val="32"/>
          <w:szCs w:val="32"/>
        </w:rPr>
        <w:t>等因素的基础上，恰当选择价值类型。</w:t>
      </w:r>
    </w:p>
    <w:p w14:paraId="0DFB21C4" w14:textId="77777777" w:rsidR="00D856BB" w:rsidRDefault="009654E4" w:rsidP="0092666C">
      <w:pPr>
        <w:pStyle w:val="10"/>
        <w:tabs>
          <w:tab w:val="left" w:pos="709"/>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（一）涉及出资、</w:t>
      </w:r>
      <w:r>
        <w:rPr>
          <w:rFonts w:ascii="仿宋_GB2312" w:eastAsia="仿宋_GB2312" w:hAnsi="华文中宋" w:cs="华文仿宋"/>
          <w:color w:val="000000"/>
          <w:kern w:val="0"/>
          <w:sz w:val="32"/>
          <w:szCs w:val="32"/>
        </w:rPr>
        <w:t>质押</w:t>
      </w:r>
      <w:r>
        <w:rPr>
          <w:rFonts w:ascii="仿宋_GB2312" w:eastAsia="仿宋_GB2312" w:hAnsi="华文中宋" w:cs="华文仿宋" w:hint="eastAsia"/>
          <w:color w:val="000000"/>
          <w:kern w:val="0"/>
          <w:sz w:val="32"/>
          <w:szCs w:val="32"/>
        </w:rPr>
        <w:t>、涉税和诉讼</w:t>
      </w:r>
      <w:r>
        <w:rPr>
          <w:rFonts w:ascii="仿宋_GB2312" w:eastAsia="仿宋_GB2312" w:hAnsi="华文中宋" w:cs="华文仿宋"/>
          <w:color w:val="000000"/>
          <w:kern w:val="0"/>
          <w:sz w:val="32"/>
          <w:szCs w:val="32"/>
        </w:rPr>
        <w:t>的</w:t>
      </w:r>
      <w:r>
        <w:rPr>
          <w:rFonts w:ascii="仿宋_GB2312" w:eastAsia="仿宋_GB2312" w:hAnsi="华文中宋" w:cs="华文仿宋" w:hint="eastAsia"/>
          <w:color w:val="000000"/>
          <w:kern w:val="0"/>
          <w:sz w:val="32"/>
          <w:szCs w:val="32"/>
        </w:rPr>
        <w:t>，</w:t>
      </w:r>
      <w:r>
        <w:rPr>
          <w:rFonts w:ascii="仿宋_GB2312" w:eastAsia="仿宋_GB2312" w:hAnsi="华文中宋" w:cs="华文仿宋"/>
          <w:color w:val="000000"/>
          <w:kern w:val="0"/>
          <w:sz w:val="32"/>
          <w:szCs w:val="32"/>
        </w:rPr>
        <w:t>按照法律、行政法规或者合同的规定选择价值类型</w:t>
      </w:r>
      <w:r>
        <w:rPr>
          <w:rFonts w:ascii="仿宋_GB2312" w:eastAsia="仿宋_GB2312" w:hAnsi="华文中宋" w:cs="华文仿宋" w:hint="eastAsia"/>
          <w:color w:val="000000"/>
          <w:kern w:val="0"/>
          <w:sz w:val="32"/>
          <w:szCs w:val="32"/>
        </w:rPr>
        <w:t>，</w:t>
      </w:r>
      <w:r>
        <w:rPr>
          <w:rFonts w:ascii="仿宋_GB2312" w:eastAsia="仿宋_GB2312" w:hAnsi="华文中宋" w:cs="华文仿宋"/>
          <w:color w:val="000000"/>
          <w:kern w:val="0"/>
          <w:sz w:val="32"/>
          <w:szCs w:val="32"/>
        </w:rPr>
        <w:t>法律、行政法规或者合同没有规定的，</w:t>
      </w:r>
      <w:r>
        <w:rPr>
          <w:rFonts w:ascii="仿宋_GB2312" w:eastAsia="仿宋_GB2312" w:hAnsi="华文中宋" w:cs="华文仿宋" w:hint="eastAsia"/>
          <w:color w:val="000000"/>
          <w:kern w:val="0"/>
          <w:sz w:val="32"/>
          <w:szCs w:val="32"/>
        </w:rPr>
        <w:t>通常</w:t>
      </w:r>
      <w:r>
        <w:rPr>
          <w:rFonts w:ascii="仿宋_GB2312" w:eastAsia="仿宋_GB2312" w:hAnsi="华文中宋" w:cs="华文仿宋"/>
          <w:color w:val="000000"/>
          <w:kern w:val="0"/>
          <w:sz w:val="32"/>
          <w:szCs w:val="32"/>
        </w:rPr>
        <w:t>选择市场价值</w:t>
      </w:r>
      <w:r>
        <w:rPr>
          <w:rFonts w:ascii="仿宋_GB2312" w:eastAsia="仿宋_GB2312" w:hAnsi="华文中宋" w:cs="华文仿宋" w:hint="eastAsia"/>
          <w:color w:val="000000"/>
          <w:kern w:val="0"/>
          <w:sz w:val="32"/>
          <w:szCs w:val="32"/>
        </w:rPr>
        <w:t>。</w:t>
      </w:r>
    </w:p>
    <w:p w14:paraId="764B2541" w14:textId="1EF611E9" w:rsidR="00D856BB" w:rsidRDefault="009654E4" w:rsidP="0092666C">
      <w:pPr>
        <w:pStyle w:val="10"/>
        <w:tabs>
          <w:tab w:val="left" w:pos="709"/>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（二）涉及转让、许可使用</w:t>
      </w:r>
      <w:r>
        <w:rPr>
          <w:rFonts w:ascii="仿宋_GB2312" w:eastAsia="仿宋_GB2312" w:hAnsi="华文中宋" w:cs="华文仿宋"/>
          <w:color w:val="000000"/>
          <w:kern w:val="0"/>
          <w:sz w:val="32"/>
          <w:szCs w:val="32"/>
        </w:rPr>
        <w:t>的</w:t>
      </w:r>
      <w:r>
        <w:rPr>
          <w:rFonts w:ascii="仿宋_GB2312" w:eastAsia="仿宋_GB2312" w:hAnsi="华文中宋" w:cs="华文仿宋" w:hint="eastAsia"/>
          <w:color w:val="000000"/>
          <w:kern w:val="0"/>
          <w:sz w:val="32"/>
          <w:szCs w:val="32"/>
        </w:rPr>
        <w:t>，</w:t>
      </w:r>
      <w:r>
        <w:rPr>
          <w:rFonts w:ascii="仿宋_GB2312" w:eastAsia="仿宋_GB2312" w:hAnsi="华文中宋" w:cs="华文仿宋"/>
          <w:color w:val="000000"/>
          <w:kern w:val="0"/>
          <w:sz w:val="32"/>
          <w:szCs w:val="32"/>
        </w:rPr>
        <w:t>通常选择市场价值或者投资价值</w:t>
      </w:r>
      <w:r>
        <w:rPr>
          <w:rFonts w:ascii="仿宋_GB2312" w:eastAsia="仿宋_GB2312" w:hAnsi="华文中宋" w:cs="华文仿宋" w:hint="eastAsia"/>
          <w:color w:val="000000"/>
          <w:kern w:val="0"/>
          <w:sz w:val="32"/>
          <w:szCs w:val="32"/>
        </w:rPr>
        <w:t>。</w:t>
      </w:r>
    </w:p>
    <w:p w14:paraId="3BE132A3" w14:textId="77777777" w:rsidR="00D856BB" w:rsidRDefault="009654E4" w:rsidP="0092666C">
      <w:pPr>
        <w:pStyle w:val="10"/>
        <w:tabs>
          <w:tab w:val="left" w:pos="709"/>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（三）涉及</w:t>
      </w:r>
      <w:r>
        <w:rPr>
          <w:rFonts w:ascii="仿宋_GB2312" w:eastAsia="仿宋_GB2312" w:hAnsi="华文中宋" w:cs="华文仿宋"/>
          <w:color w:val="000000"/>
          <w:kern w:val="0"/>
          <w:sz w:val="32"/>
          <w:szCs w:val="32"/>
        </w:rPr>
        <w:t>财务报告的</w:t>
      </w:r>
      <w:r>
        <w:rPr>
          <w:rFonts w:ascii="仿宋_GB2312" w:eastAsia="仿宋_GB2312" w:hAnsi="华文中宋" w:cs="华文仿宋" w:hint="eastAsia"/>
          <w:color w:val="000000"/>
          <w:kern w:val="0"/>
          <w:sz w:val="32"/>
          <w:szCs w:val="32"/>
        </w:rPr>
        <w:t>，</w:t>
      </w:r>
      <w:r>
        <w:rPr>
          <w:rFonts w:ascii="仿宋_GB2312" w:eastAsia="仿宋_GB2312" w:hAnsi="华文中宋" w:cs="华文仿宋"/>
          <w:color w:val="000000"/>
          <w:kern w:val="0"/>
          <w:sz w:val="32"/>
          <w:szCs w:val="32"/>
        </w:rPr>
        <w:t>根据会计准则要求选择相应的</w:t>
      </w:r>
      <w:r>
        <w:rPr>
          <w:rFonts w:ascii="仿宋_GB2312" w:eastAsia="仿宋_GB2312" w:hAnsi="华文中宋" w:cs="华文仿宋" w:hint="eastAsia"/>
          <w:color w:val="000000"/>
          <w:kern w:val="0"/>
          <w:sz w:val="32"/>
          <w:szCs w:val="32"/>
        </w:rPr>
        <w:t>会计计量属性作为评估</w:t>
      </w:r>
      <w:r>
        <w:rPr>
          <w:rFonts w:ascii="仿宋_GB2312" w:eastAsia="仿宋_GB2312" w:hAnsi="华文中宋" w:cs="华文仿宋"/>
          <w:color w:val="000000"/>
          <w:kern w:val="0"/>
          <w:sz w:val="32"/>
          <w:szCs w:val="32"/>
        </w:rPr>
        <w:t>价值类型。</w:t>
      </w:r>
    </w:p>
    <w:p w14:paraId="49607327" w14:textId="6C32E501" w:rsidR="00D856BB" w:rsidRDefault="009654E4" w:rsidP="0092666C">
      <w:pPr>
        <w:pStyle w:val="10"/>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第二十条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【社会效益】执行体育无形资产评估业务，</w:t>
      </w:r>
      <w:r>
        <w:rPr>
          <w:rFonts w:ascii="仿宋_GB2312" w:eastAsia="仿宋_GB2312" w:hAnsi="华文中宋" w:cs="华文仿宋"/>
          <w:color w:val="000000"/>
          <w:kern w:val="0"/>
          <w:sz w:val="32"/>
          <w:szCs w:val="32"/>
        </w:rPr>
        <w:t>应当</w:t>
      </w:r>
      <w:r>
        <w:rPr>
          <w:rFonts w:ascii="仿宋_GB2312" w:eastAsia="仿宋_GB2312" w:hAnsi="华文中宋" w:hint="eastAsia"/>
          <w:color w:val="000000"/>
          <w:sz w:val="32"/>
          <w:szCs w:val="32"/>
        </w:rPr>
        <w:t>了</w:t>
      </w:r>
      <w:r>
        <w:rPr>
          <w:rFonts w:ascii="仿宋_GB2312" w:eastAsia="仿宋_GB2312" w:hAnsi="华文中宋" w:cs="华文仿宋" w:hint="eastAsia"/>
          <w:color w:val="000000"/>
          <w:kern w:val="0"/>
          <w:sz w:val="32"/>
          <w:szCs w:val="32"/>
        </w:rPr>
        <w:t>解</w:t>
      </w:r>
      <w:r>
        <w:rPr>
          <w:rFonts w:ascii="仿宋_GB2312" w:eastAsia="仿宋_GB2312" w:hAnsi="华文中宋" w:cs="华文仿宋"/>
          <w:color w:val="000000"/>
          <w:kern w:val="0"/>
          <w:sz w:val="32"/>
          <w:szCs w:val="32"/>
        </w:rPr>
        <w:t>体育</w:t>
      </w:r>
      <w:r>
        <w:rPr>
          <w:rFonts w:ascii="仿宋_GB2312" w:eastAsia="仿宋_GB2312" w:hAnsi="华文中宋" w:cs="华文仿宋" w:hint="eastAsia"/>
          <w:color w:val="000000"/>
          <w:kern w:val="0"/>
          <w:sz w:val="32"/>
          <w:szCs w:val="32"/>
        </w:rPr>
        <w:t>具有</w:t>
      </w:r>
      <w:r>
        <w:rPr>
          <w:rFonts w:ascii="仿宋_GB2312" w:eastAsia="仿宋_GB2312" w:hAnsi="华文中宋" w:cs="华文仿宋"/>
          <w:color w:val="000000"/>
          <w:kern w:val="0"/>
          <w:sz w:val="32"/>
          <w:szCs w:val="32"/>
        </w:rPr>
        <w:t>为经济建设、国防建设和社会发展服务</w:t>
      </w:r>
      <w:r>
        <w:rPr>
          <w:rFonts w:ascii="仿宋_GB2312" w:eastAsia="仿宋_GB2312" w:hAnsi="华文中宋" w:cs="华文仿宋" w:hint="eastAsia"/>
          <w:color w:val="000000"/>
          <w:kern w:val="0"/>
          <w:sz w:val="32"/>
          <w:szCs w:val="32"/>
        </w:rPr>
        <w:t>的</w:t>
      </w:r>
      <w:r w:rsidR="006E50F5">
        <w:rPr>
          <w:rFonts w:ascii="仿宋_GB2312" w:eastAsia="仿宋_GB2312" w:hAnsi="华文中宋" w:cs="华文仿宋" w:hint="eastAsia"/>
          <w:color w:val="000000"/>
          <w:kern w:val="0"/>
          <w:sz w:val="32"/>
          <w:szCs w:val="32"/>
        </w:rPr>
        <w:t>功能</w:t>
      </w:r>
      <w:r>
        <w:rPr>
          <w:rFonts w:ascii="仿宋_GB2312" w:eastAsia="仿宋_GB2312" w:hAnsi="华文中宋" w:cs="华文仿宋" w:hint="eastAsia"/>
          <w:color w:val="000000"/>
          <w:kern w:val="0"/>
          <w:sz w:val="32"/>
          <w:szCs w:val="32"/>
        </w:rPr>
        <w:t>，体育无形资产价值不仅体现在</w:t>
      </w:r>
      <w:r>
        <w:rPr>
          <w:rFonts w:ascii="仿宋_GB2312" w:eastAsia="仿宋_GB2312" w:hAnsi="华文中宋" w:cs="华文仿宋"/>
          <w:color w:val="000000"/>
          <w:kern w:val="0"/>
          <w:sz w:val="32"/>
          <w:szCs w:val="32"/>
        </w:rPr>
        <w:t>社会主义物质文明</w:t>
      </w:r>
      <w:r>
        <w:rPr>
          <w:rFonts w:ascii="仿宋_GB2312" w:eastAsia="仿宋_GB2312" w:hAnsi="华文中宋" w:cs="华文仿宋" w:hint="eastAsia"/>
          <w:color w:val="000000"/>
          <w:kern w:val="0"/>
          <w:sz w:val="32"/>
          <w:szCs w:val="32"/>
        </w:rPr>
        <w:t>建设领域，也</w:t>
      </w:r>
      <w:r w:rsidR="006E50F5">
        <w:rPr>
          <w:rFonts w:ascii="仿宋_GB2312" w:eastAsia="仿宋_GB2312" w:hAnsi="华文中宋" w:cs="华文仿宋" w:hint="eastAsia"/>
          <w:color w:val="000000"/>
          <w:kern w:val="0"/>
          <w:sz w:val="32"/>
          <w:szCs w:val="32"/>
        </w:rPr>
        <w:t>体现在</w:t>
      </w:r>
      <w:r>
        <w:rPr>
          <w:rFonts w:ascii="仿宋_GB2312" w:eastAsia="仿宋_GB2312" w:hAnsi="华文中宋" w:cs="华文仿宋"/>
          <w:color w:val="000000"/>
          <w:kern w:val="0"/>
          <w:sz w:val="32"/>
          <w:szCs w:val="32"/>
        </w:rPr>
        <w:t>精神文明建设</w:t>
      </w:r>
      <w:r>
        <w:rPr>
          <w:rFonts w:ascii="仿宋_GB2312" w:eastAsia="仿宋_GB2312" w:hAnsi="华文中宋" w:cs="华文仿宋" w:hint="eastAsia"/>
          <w:color w:val="000000"/>
          <w:kern w:val="0"/>
          <w:sz w:val="32"/>
          <w:szCs w:val="32"/>
        </w:rPr>
        <w:t>领域。对竞技体育、群众体育等无形资产进行评估时，应当关注体育所产生的社会效益对</w:t>
      </w:r>
      <w:r w:rsidR="006E50F5">
        <w:rPr>
          <w:rFonts w:ascii="仿宋_GB2312" w:eastAsia="仿宋_GB2312" w:hAnsi="华文中宋" w:cs="华文仿宋" w:hint="eastAsia"/>
          <w:color w:val="000000"/>
          <w:kern w:val="0"/>
          <w:sz w:val="32"/>
          <w:szCs w:val="32"/>
        </w:rPr>
        <w:t>体育无形资产</w:t>
      </w:r>
      <w:r>
        <w:rPr>
          <w:rFonts w:ascii="仿宋_GB2312" w:eastAsia="仿宋_GB2312" w:hAnsi="华文中宋" w:hint="eastAsia"/>
          <w:color w:val="000000"/>
          <w:sz w:val="32"/>
          <w:szCs w:val="32"/>
        </w:rPr>
        <w:t>价值的影响。</w:t>
      </w:r>
    </w:p>
    <w:p w14:paraId="142E7424"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lastRenderedPageBreak/>
        <w:t>第二十一条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【现场调查与核查验证】执行体育无形资产评估业务，</w:t>
      </w:r>
      <w:r>
        <w:rPr>
          <w:rFonts w:ascii="仿宋_GB2312" w:eastAsia="仿宋_GB2312" w:hAnsi="华文中宋" w:cs="华文仿宋"/>
          <w:color w:val="000000"/>
          <w:kern w:val="0"/>
          <w:sz w:val="32"/>
          <w:szCs w:val="32"/>
        </w:rPr>
        <w:t>应当根据评估业务具体情况，对评估对象进行现场调查，收集权属证明、财务会计信息和其他资料并进行核查验证、分析整理</w:t>
      </w:r>
      <w:r>
        <w:rPr>
          <w:rFonts w:ascii="仿宋_GB2312" w:eastAsia="仿宋_GB2312" w:hAnsi="华文中宋" w:cs="华文仿宋" w:hint="eastAsia"/>
          <w:color w:val="000000"/>
          <w:kern w:val="0"/>
          <w:sz w:val="32"/>
          <w:szCs w:val="32"/>
        </w:rPr>
        <w:t>。</w:t>
      </w:r>
    </w:p>
    <w:p w14:paraId="552A3BCE"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第二十二条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【资料清单】执行体育无形资产评估业务，应当收集的资料通常包括：</w:t>
      </w:r>
    </w:p>
    <w:p w14:paraId="5045268D"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（一）无形资产清查评估明细表；</w:t>
      </w:r>
    </w:p>
    <w:p w14:paraId="07E4CB77" w14:textId="77884548"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（二）</w:t>
      </w:r>
      <w:r>
        <w:rPr>
          <w:rFonts w:ascii="仿宋_GB2312" w:eastAsia="仿宋_GB2312" w:hAnsi="华文中宋" w:cs="华文仿宋"/>
          <w:color w:val="000000"/>
          <w:kern w:val="0"/>
          <w:sz w:val="32"/>
          <w:szCs w:val="32"/>
        </w:rPr>
        <w:t>无形资产权利的法律文件、权属有效性文件或者其他证明资料；</w:t>
      </w:r>
    </w:p>
    <w:p w14:paraId="6F5E3858"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（三）无形资产权利人基本情况；</w:t>
      </w:r>
    </w:p>
    <w:p w14:paraId="0CA476F1"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（四）无形资产开发、使用方式；</w:t>
      </w:r>
    </w:p>
    <w:p w14:paraId="1C73AF7B" w14:textId="483DEE75"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（五）无形资产保护措施及保护状况；</w:t>
      </w:r>
    </w:p>
    <w:p w14:paraId="1D1FB071" w14:textId="7C27CC93"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（六）</w:t>
      </w:r>
      <w:r>
        <w:rPr>
          <w:rFonts w:ascii="仿宋_GB2312" w:eastAsia="仿宋_GB2312" w:hAnsi="华文中宋" w:cs="华文仿宋"/>
          <w:color w:val="000000"/>
          <w:kern w:val="0"/>
          <w:sz w:val="32"/>
          <w:szCs w:val="32"/>
        </w:rPr>
        <w:t>无形资产实施过程中所受到的法律、行政法规或者其他限制；</w:t>
      </w:r>
    </w:p>
    <w:p w14:paraId="63C09FB6"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（七）无形资产取得方式、取得成本和历史收益情况；</w:t>
      </w:r>
    </w:p>
    <w:p w14:paraId="6FBBFFF3"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（八）无形资产以往</w:t>
      </w:r>
      <w:r>
        <w:rPr>
          <w:rFonts w:ascii="仿宋_GB2312" w:eastAsia="仿宋_GB2312" w:hAnsi="华文中宋" w:cs="华文仿宋"/>
          <w:color w:val="000000"/>
          <w:kern w:val="0"/>
          <w:sz w:val="32"/>
          <w:szCs w:val="32"/>
        </w:rPr>
        <w:t>的交易、质押、出资</w:t>
      </w:r>
      <w:r>
        <w:rPr>
          <w:rFonts w:ascii="仿宋_GB2312" w:eastAsia="仿宋_GB2312" w:hAnsi="华文中宋" w:cs="华文仿宋" w:hint="eastAsia"/>
          <w:color w:val="000000"/>
          <w:kern w:val="0"/>
          <w:sz w:val="32"/>
          <w:szCs w:val="32"/>
        </w:rPr>
        <w:t>及其评估情况；</w:t>
      </w:r>
    </w:p>
    <w:p w14:paraId="1A5710A1"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（九）</w:t>
      </w:r>
      <w:r>
        <w:rPr>
          <w:rFonts w:ascii="仿宋_GB2312" w:eastAsia="仿宋_GB2312" w:hAnsi="华文中宋" w:cs="华文仿宋"/>
          <w:color w:val="000000"/>
          <w:kern w:val="0"/>
          <w:sz w:val="32"/>
          <w:szCs w:val="32"/>
        </w:rPr>
        <w:t>类似无形资产的市场价格信息；</w:t>
      </w:r>
    </w:p>
    <w:p w14:paraId="1925B400"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（十）</w:t>
      </w:r>
      <w:r>
        <w:rPr>
          <w:rFonts w:ascii="仿宋_GB2312" w:eastAsia="仿宋_GB2312" w:hAnsi="华文中宋" w:cs="华文仿宋"/>
          <w:color w:val="000000"/>
          <w:kern w:val="0"/>
          <w:sz w:val="32"/>
          <w:szCs w:val="32"/>
        </w:rPr>
        <w:t>宏观经济环境</w:t>
      </w:r>
      <w:r>
        <w:rPr>
          <w:rFonts w:ascii="仿宋_GB2312" w:eastAsia="仿宋_GB2312" w:hAnsi="华文中宋" w:cs="华文仿宋" w:hint="eastAsia"/>
          <w:color w:val="000000"/>
          <w:kern w:val="0"/>
          <w:sz w:val="32"/>
          <w:szCs w:val="32"/>
        </w:rPr>
        <w:t>情况</w:t>
      </w:r>
      <w:r>
        <w:rPr>
          <w:rFonts w:ascii="仿宋_GB2312" w:eastAsia="仿宋_GB2312" w:hAnsi="华文中宋" w:cs="华文仿宋"/>
          <w:color w:val="000000"/>
          <w:kern w:val="0"/>
          <w:sz w:val="32"/>
          <w:szCs w:val="32"/>
        </w:rPr>
        <w:t>；</w:t>
      </w:r>
    </w:p>
    <w:p w14:paraId="567730BA" w14:textId="77777777" w:rsidR="00D856BB" w:rsidRDefault="009654E4" w:rsidP="0092666C">
      <w:pPr>
        <w:autoSpaceDE w:val="0"/>
        <w:autoSpaceDN w:val="0"/>
        <w:adjustRightInd w:val="0"/>
        <w:snapToGrid w:val="0"/>
        <w:spacing w:line="360" w:lineRule="auto"/>
        <w:ind w:firstLineChars="200" w:firstLine="640"/>
      </w:pPr>
      <w:r>
        <w:rPr>
          <w:rFonts w:ascii="仿宋_GB2312" w:eastAsia="仿宋_GB2312" w:hAnsi="华文中宋" w:cs="华文仿宋" w:hint="eastAsia"/>
          <w:color w:val="000000"/>
          <w:kern w:val="0"/>
          <w:sz w:val="32"/>
          <w:szCs w:val="32"/>
        </w:rPr>
        <w:t>（十一）</w:t>
      </w:r>
      <w:r>
        <w:rPr>
          <w:rFonts w:ascii="仿宋_GB2312" w:eastAsia="仿宋_GB2312" w:hAnsi="华文中宋" w:cs="华文仿宋"/>
          <w:color w:val="000000"/>
          <w:kern w:val="0"/>
          <w:sz w:val="32"/>
          <w:szCs w:val="32"/>
        </w:rPr>
        <w:t>行业状况及发展前景；</w:t>
      </w:r>
    </w:p>
    <w:p w14:paraId="35952969"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（十</w:t>
      </w:r>
      <w:r>
        <w:rPr>
          <w:rFonts w:ascii="仿宋_GB2312" w:eastAsia="仿宋_GB2312" w:hAnsi="华文中宋" w:cs="华文仿宋" w:hint="eastAsia"/>
          <w:color w:val="000000"/>
          <w:kern w:val="0"/>
          <w:sz w:val="32"/>
          <w:szCs w:val="32"/>
        </w:rPr>
        <w:t>二</w:t>
      </w:r>
      <w:r>
        <w:rPr>
          <w:rFonts w:ascii="仿宋_GB2312" w:eastAsia="仿宋_GB2312" w:hAnsi="华文中宋" w:cs="华文仿宋"/>
          <w:color w:val="000000"/>
          <w:kern w:val="0"/>
          <w:sz w:val="32"/>
          <w:szCs w:val="32"/>
        </w:rPr>
        <w:t>）企业状况及发展前景；</w:t>
      </w:r>
    </w:p>
    <w:p w14:paraId="366272D1"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（十</w:t>
      </w:r>
      <w:r>
        <w:rPr>
          <w:rFonts w:ascii="仿宋_GB2312" w:eastAsia="仿宋_GB2312" w:hAnsi="华文中宋" w:cs="华文仿宋" w:hint="eastAsia"/>
          <w:color w:val="000000"/>
          <w:kern w:val="0"/>
          <w:sz w:val="32"/>
          <w:szCs w:val="32"/>
        </w:rPr>
        <w:t>三</w:t>
      </w: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无形资产收益期和预期收益情况；</w:t>
      </w:r>
    </w:p>
    <w:p w14:paraId="79DB9550"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（十</w:t>
      </w:r>
      <w:r>
        <w:rPr>
          <w:rFonts w:ascii="仿宋_GB2312" w:eastAsia="仿宋_GB2312" w:hAnsi="华文中宋" w:cs="华文仿宋" w:hint="eastAsia"/>
          <w:color w:val="000000"/>
          <w:kern w:val="0"/>
          <w:sz w:val="32"/>
          <w:szCs w:val="32"/>
        </w:rPr>
        <w:t>四</w:t>
      </w:r>
      <w:r>
        <w:rPr>
          <w:rFonts w:ascii="仿宋_GB2312" w:eastAsia="仿宋_GB2312" w:hAnsi="华文中宋" w:cs="华文仿宋"/>
          <w:color w:val="000000"/>
          <w:kern w:val="0"/>
          <w:sz w:val="32"/>
          <w:szCs w:val="32"/>
        </w:rPr>
        <w:t>）其他相关信息。</w:t>
      </w:r>
    </w:p>
    <w:p w14:paraId="77FC12A6"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lastRenderedPageBreak/>
        <w:t>第二十三条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【实施资料】执行体育</w:t>
      </w:r>
      <w:r>
        <w:rPr>
          <w:rFonts w:ascii="仿宋_GB2312" w:eastAsia="仿宋_GB2312" w:hAnsi="华文中宋" w:cs="华文仿宋"/>
          <w:bCs/>
          <w:color w:val="000000"/>
          <w:kern w:val="0"/>
          <w:sz w:val="32"/>
          <w:szCs w:val="32"/>
        </w:rPr>
        <w:t>无形资产</w:t>
      </w:r>
      <w:r>
        <w:rPr>
          <w:rFonts w:ascii="仿宋_GB2312" w:eastAsia="仿宋_GB2312" w:hAnsi="华文中宋" w:cs="华文仿宋" w:hint="eastAsia"/>
          <w:color w:val="000000"/>
          <w:kern w:val="0"/>
          <w:sz w:val="32"/>
          <w:szCs w:val="32"/>
        </w:rPr>
        <w:t>评估业务，应当结合无形资产实施或者拟实施企业的经营状况进行评估。对于尚未实施的无形资产，可以利用专业机构出具的专业意见或者报告作为评估依据。</w:t>
      </w:r>
    </w:p>
    <w:p w14:paraId="1C645C6C"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第二十四条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【咨询资料】执行体育</w:t>
      </w:r>
      <w:r>
        <w:rPr>
          <w:rFonts w:ascii="仿宋_GB2312" w:eastAsia="仿宋_GB2312" w:hAnsi="华文中宋" w:cs="华文仿宋"/>
          <w:bCs/>
          <w:color w:val="000000"/>
          <w:kern w:val="0"/>
          <w:sz w:val="32"/>
          <w:szCs w:val="32"/>
        </w:rPr>
        <w:t>无形资产</w:t>
      </w:r>
      <w:r>
        <w:rPr>
          <w:rFonts w:ascii="仿宋_GB2312" w:eastAsia="仿宋_GB2312" w:hAnsi="华文中宋" w:cs="华文仿宋" w:hint="eastAsia"/>
          <w:color w:val="000000"/>
          <w:kern w:val="0"/>
          <w:sz w:val="32"/>
          <w:szCs w:val="32"/>
        </w:rPr>
        <w:t>评估业务，引用</w:t>
      </w:r>
      <w:r>
        <w:rPr>
          <w:rFonts w:ascii="仿宋_GB2312" w:eastAsia="仿宋_GB2312" w:hAnsi="华文中宋" w:cs="华文仿宋" w:hint="eastAsia"/>
          <w:bCs/>
          <w:color w:val="000000"/>
          <w:kern w:val="0"/>
          <w:sz w:val="32"/>
          <w:szCs w:val="32"/>
        </w:rPr>
        <w:t>体育市场上相关咨询机构发布的</w:t>
      </w:r>
      <w:r>
        <w:rPr>
          <w:rFonts w:ascii="仿宋_GB2312" w:eastAsia="仿宋_GB2312" w:hAnsi="华文中宋" w:cs="华文仿宋" w:hint="eastAsia"/>
          <w:color w:val="000000"/>
          <w:kern w:val="0"/>
          <w:sz w:val="32"/>
          <w:szCs w:val="32"/>
        </w:rPr>
        <w:t>体育明星商业价值评估报告、体育赛事影响力评估报告、体育赛事赞助价值评估报告等咨询意见时，应当知晓以市场营销为目的的体育资源价值评估或者评价业务与本指导意见所指体育无形资产评估业务的区别，审慎引用相关结论。</w:t>
      </w:r>
    </w:p>
    <w:p w14:paraId="513A6749"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第二十五条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【财务资料】执行体育无形资产评估业务，</w:t>
      </w:r>
      <w:r>
        <w:rPr>
          <w:rFonts w:ascii="仿宋_GB2312" w:eastAsia="仿宋_GB2312" w:hAnsi="华文中宋" w:cs="华文仿宋"/>
          <w:color w:val="000000"/>
          <w:kern w:val="0"/>
          <w:sz w:val="32"/>
          <w:szCs w:val="32"/>
        </w:rPr>
        <w:t>应当尽可能获取与</w:t>
      </w:r>
      <w:r>
        <w:rPr>
          <w:rFonts w:ascii="仿宋_GB2312" w:eastAsia="仿宋_GB2312" w:hAnsi="华文中宋" w:cs="华文仿宋" w:hint="eastAsia"/>
          <w:color w:val="000000"/>
          <w:kern w:val="0"/>
          <w:sz w:val="32"/>
          <w:szCs w:val="32"/>
        </w:rPr>
        <w:t>已实施体育无形资产</w:t>
      </w:r>
      <w:r>
        <w:rPr>
          <w:rFonts w:ascii="仿宋_GB2312" w:eastAsia="仿宋_GB2312" w:hAnsi="华文中宋" w:cs="华文仿宋"/>
          <w:color w:val="000000"/>
          <w:kern w:val="0"/>
          <w:sz w:val="32"/>
          <w:szCs w:val="32"/>
        </w:rPr>
        <w:t>使用相关的财务数据或者经审计的财务报表，</w:t>
      </w:r>
      <w:r>
        <w:rPr>
          <w:rFonts w:ascii="仿宋_GB2312" w:eastAsia="仿宋_GB2312" w:hAnsi="华文中宋" w:cs="华文仿宋" w:hint="eastAsia"/>
          <w:color w:val="000000"/>
          <w:kern w:val="0"/>
          <w:sz w:val="32"/>
          <w:szCs w:val="32"/>
        </w:rPr>
        <w:t>并</w:t>
      </w:r>
      <w:r>
        <w:rPr>
          <w:rFonts w:ascii="仿宋_GB2312" w:eastAsia="仿宋_GB2312" w:hAnsi="华文中宋" w:cs="华文仿宋"/>
          <w:color w:val="000000"/>
          <w:kern w:val="0"/>
          <w:sz w:val="32"/>
          <w:szCs w:val="32"/>
        </w:rPr>
        <w:t>对相关财务数据进行必要的分析。</w:t>
      </w:r>
    </w:p>
    <w:p w14:paraId="4899435F"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第二十六条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【诉讼资料】执行体育无形资产</w:t>
      </w:r>
      <w:r>
        <w:rPr>
          <w:rFonts w:ascii="仿宋_GB2312" w:eastAsia="仿宋_GB2312" w:hAnsi="华文中宋" w:cs="华文仿宋"/>
          <w:color w:val="000000"/>
          <w:kern w:val="0"/>
          <w:sz w:val="32"/>
          <w:szCs w:val="32"/>
        </w:rPr>
        <w:t>法律诉讼</w:t>
      </w:r>
      <w:r>
        <w:rPr>
          <w:rFonts w:ascii="仿宋_GB2312" w:eastAsia="仿宋_GB2312" w:hAnsi="华文中宋" w:cs="华文仿宋" w:hint="eastAsia"/>
          <w:color w:val="000000"/>
          <w:kern w:val="0"/>
          <w:sz w:val="32"/>
          <w:szCs w:val="32"/>
        </w:rPr>
        <w:t>评估业务，</w:t>
      </w:r>
      <w:r>
        <w:rPr>
          <w:rFonts w:ascii="仿宋_GB2312" w:eastAsia="仿宋_GB2312" w:hAnsi="华文中宋" w:cs="华文仿宋"/>
          <w:color w:val="000000"/>
          <w:kern w:val="0"/>
          <w:sz w:val="32"/>
          <w:szCs w:val="32"/>
        </w:rPr>
        <w:t>应当关注相关案情基本情况</w:t>
      </w:r>
      <w:r>
        <w:rPr>
          <w:rFonts w:ascii="仿宋_GB2312" w:eastAsia="仿宋_GB2312" w:hAnsi="华文中宋" w:cs="华文仿宋" w:hint="eastAsia"/>
          <w:color w:val="000000"/>
          <w:kern w:val="0"/>
          <w:sz w:val="32"/>
          <w:szCs w:val="32"/>
        </w:rPr>
        <w:t>、</w:t>
      </w:r>
      <w:r>
        <w:rPr>
          <w:rFonts w:ascii="仿宋_GB2312" w:eastAsia="仿宋_GB2312" w:hAnsi="华文中宋" w:cs="华文仿宋"/>
          <w:color w:val="000000"/>
          <w:kern w:val="0"/>
          <w:sz w:val="32"/>
          <w:szCs w:val="32"/>
        </w:rPr>
        <w:t>经过质证的资料，以及</w:t>
      </w:r>
      <w:r>
        <w:rPr>
          <w:rFonts w:ascii="仿宋_GB2312" w:eastAsia="仿宋_GB2312" w:hAnsi="华文中宋" w:cs="华文仿宋" w:hint="eastAsia"/>
          <w:color w:val="000000"/>
          <w:kern w:val="0"/>
          <w:sz w:val="32"/>
          <w:szCs w:val="32"/>
        </w:rPr>
        <w:t>体育无形资产</w:t>
      </w:r>
      <w:r>
        <w:rPr>
          <w:rFonts w:ascii="仿宋_GB2312" w:eastAsia="仿宋_GB2312" w:hAnsi="华文中宋" w:cs="华文仿宋"/>
          <w:color w:val="000000"/>
          <w:kern w:val="0"/>
          <w:sz w:val="32"/>
          <w:szCs w:val="32"/>
        </w:rPr>
        <w:t>的历史诉讼情况。</w:t>
      </w:r>
    </w:p>
    <w:p w14:paraId="3ABA63E9"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olor w:val="000000"/>
          <w:kern w:val="0"/>
          <w:sz w:val="32"/>
          <w:szCs w:val="32"/>
        </w:rPr>
      </w:pPr>
      <w:r>
        <w:rPr>
          <w:rFonts w:ascii="仿宋_GB2312" w:eastAsia="仿宋_GB2312" w:hAnsi="华文中宋" w:cs="华文仿宋" w:hint="eastAsia"/>
          <w:b/>
          <w:color w:val="000000"/>
          <w:kern w:val="0"/>
          <w:sz w:val="32"/>
          <w:szCs w:val="32"/>
        </w:rPr>
        <w:t>第二十七条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【价值影响因素】执行体育无形资产评估业务，应当</w:t>
      </w:r>
      <w:r>
        <w:rPr>
          <w:rFonts w:ascii="仿宋_GB2312" w:eastAsia="仿宋_GB2312" w:hAnsi="华文中宋" w:cs="华文仿宋"/>
          <w:color w:val="000000"/>
          <w:kern w:val="0"/>
          <w:sz w:val="32"/>
          <w:szCs w:val="32"/>
        </w:rPr>
        <w:t>结合</w:t>
      </w:r>
      <w:r>
        <w:rPr>
          <w:rFonts w:ascii="仿宋_GB2312" w:eastAsia="仿宋_GB2312" w:hAnsi="华文中宋" w:cs="华文仿宋" w:hint="eastAsia"/>
          <w:color w:val="000000"/>
          <w:kern w:val="0"/>
          <w:sz w:val="32"/>
          <w:szCs w:val="32"/>
        </w:rPr>
        <w:t>体育无形资产开发模式和体育产业</w:t>
      </w:r>
      <w:proofErr w:type="gramStart"/>
      <w:r>
        <w:rPr>
          <w:rFonts w:ascii="仿宋_GB2312" w:eastAsia="仿宋_GB2312" w:hAnsi="华文中宋" w:cs="华文仿宋" w:hint="eastAsia"/>
          <w:color w:val="000000"/>
          <w:kern w:val="0"/>
          <w:sz w:val="32"/>
          <w:szCs w:val="32"/>
        </w:rPr>
        <w:t>链发展</w:t>
      </w:r>
      <w:proofErr w:type="gramEnd"/>
      <w:r>
        <w:rPr>
          <w:rFonts w:ascii="仿宋_GB2312" w:eastAsia="仿宋_GB2312" w:hAnsi="华文中宋" w:cs="华文仿宋" w:hint="eastAsia"/>
          <w:color w:val="000000"/>
          <w:kern w:val="0"/>
          <w:sz w:val="32"/>
          <w:szCs w:val="32"/>
        </w:rPr>
        <w:t>状况</w:t>
      </w: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关注宏观经济、政治、法律环境和企业经营条件、运营能力、竞争情况等微观因素对无形资产效能发挥的制约和激励作用，及其对无形资产价值产生的影响。</w:t>
      </w:r>
    </w:p>
    <w:p w14:paraId="1B97B7AA"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olor w:val="000000"/>
          <w:kern w:val="0"/>
          <w:sz w:val="32"/>
          <w:szCs w:val="32"/>
        </w:rPr>
      </w:pPr>
      <w:r>
        <w:rPr>
          <w:rFonts w:ascii="仿宋_GB2312" w:eastAsia="仿宋_GB2312" w:hAnsi="华文中宋" w:cs="华文仿宋" w:hint="eastAsia"/>
          <w:b/>
          <w:color w:val="000000"/>
          <w:kern w:val="0"/>
          <w:sz w:val="32"/>
          <w:szCs w:val="32"/>
        </w:rPr>
        <w:lastRenderedPageBreak/>
        <w:t>第二十八条</w:t>
      </w:r>
      <w:r>
        <w:rPr>
          <w:rFonts w:ascii="仿宋_GB2312" w:eastAsia="仿宋_GB2312" w:hAnsi="华文中宋" w:hint="eastAsia"/>
          <w:color w:val="000000"/>
          <w:sz w:val="32"/>
          <w:szCs w:val="32"/>
        </w:rPr>
        <w:t xml:space="preserve">  </w:t>
      </w:r>
      <w:r>
        <w:rPr>
          <w:rFonts w:ascii="仿宋_GB2312" w:eastAsia="仿宋_GB2312" w:hAnsi="宋体" w:cs="华文仿宋" w:hint="eastAsia"/>
          <w:color w:val="000000"/>
          <w:kern w:val="0"/>
          <w:sz w:val="32"/>
          <w:szCs w:val="32"/>
        </w:rPr>
        <w:t>【宏观因素】分析判断</w:t>
      </w:r>
      <w:r>
        <w:rPr>
          <w:rFonts w:ascii="仿宋_GB2312" w:eastAsia="仿宋_GB2312" w:hAnsi="华文中宋" w:cs="华文仿宋" w:hint="eastAsia"/>
          <w:color w:val="000000"/>
          <w:kern w:val="0"/>
          <w:sz w:val="32"/>
          <w:szCs w:val="32"/>
        </w:rPr>
        <w:t>影响体育无形资产</w:t>
      </w:r>
      <w:r>
        <w:rPr>
          <w:rFonts w:ascii="仿宋_GB2312" w:eastAsia="仿宋_GB2312" w:hAnsi="华文中宋" w:cs="华文仿宋"/>
          <w:color w:val="000000"/>
          <w:kern w:val="0"/>
          <w:sz w:val="32"/>
          <w:szCs w:val="32"/>
        </w:rPr>
        <w:t>价值</w:t>
      </w:r>
      <w:r>
        <w:rPr>
          <w:rFonts w:ascii="仿宋_GB2312" w:eastAsia="仿宋_GB2312" w:hAnsi="华文中宋" w:cs="华文仿宋" w:hint="eastAsia"/>
          <w:color w:val="000000"/>
          <w:kern w:val="0"/>
          <w:sz w:val="32"/>
          <w:szCs w:val="32"/>
        </w:rPr>
        <w:t>的宏观因素，应当关注国家或者地区的经济发展水平、人们的生活方式和体育消费观念、体育传媒与信息服务技术发展状况、政府政策的支持力度和法律保护状况等。</w:t>
      </w:r>
    </w:p>
    <w:p w14:paraId="266DBC51"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olor w:val="000000"/>
          <w:kern w:val="0"/>
          <w:sz w:val="32"/>
          <w:szCs w:val="32"/>
        </w:rPr>
      </w:pPr>
      <w:r>
        <w:rPr>
          <w:rFonts w:ascii="仿宋_GB2312" w:eastAsia="仿宋_GB2312" w:hAnsi="华文中宋" w:cs="华文仿宋" w:hint="eastAsia"/>
          <w:b/>
          <w:color w:val="000000"/>
          <w:kern w:val="0"/>
          <w:sz w:val="32"/>
          <w:szCs w:val="32"/>
        </w:rPr>
        <w:t>第二十九条</w:t>
      </w:r>
      <w:r>
        <w:rPr>
          <w:rFonts w:ascii="仿宋_GB2312" w:eastAsia="仿宋_GB2312" w:hAnsi="华文中宋" w:hint="eastAsia"/>
          <w:color w:val="000000"/>
          <w:sz w:val="32"/>
          <w:szCs w:val="32"/>
        </w:rPr>
        <w:t xml:space="preserve">  </w:t>
      </w:r>
      <w:r>
        <w:rPr>
          <w:rFonts w:ascii="仿宋_GB2312" w:eastAsia="仿宋_GB2312" w:hAnsi="宋体" w:cs="华文仿宋" w:hint="eastAsia"/>
          <w:color w:val="000000"/>
          <w:kern w:val="0"/>
          <w:sz w:val="32"/>
          <w:szCs w:val="32"/>
        </w:rPr>
        <w:t>【微观因素】分析判断</w:t>
      </w:r>
      <w:r>
        <w:rPr>
          <w:rFonts w:ascii="仿宋_GB2312" w:eastAsia="仿宋_GB2312" w:hAnsi="华文中宋" w:cs="华文仿宋" w:hint="eastAsia"/>
          <w:color w:val="000000"/>
          <w:kern w:val="0"/>
          <w:sz w:val="32"/>
          <w:szCs w:val="32"/>
        </w:rPr>
        <w:t>影响体育无形资产</w:t>
      </w:r>
      <w:r>
        <w:rPr>
          <w:rFonts w:ascii="仿宋_GB2312" w:eastAsia="仿宋_GB2312" w:hAnsi="华文中宋" w:cs="华文仿宋"/>
          <w:color w:val="000000"/>
          <w:kern w:val="0"/>
          <w:sz w:val="32"/>
          <w:szCs w:val="32"/>
        </w:rPr>
        <w:t>价值</w:t>
      </w:r>
      <w:r>
        <w:rPr>
          <w:rFonts w:ascii="仿宋_GB2312" w:eastAsia="仿宋_GB2312" w:hAnsi="华文中宋" w:cs="华文仿宋" w:hint="eastAsia"/>
          <w:color w:val="000000"/>
          <w:kern w:val="0"/>
          <w:sz w:val="32"/>
          <w:szCs w:val="32"/>
        </w:rPr>
        <w:t>的微观因素，应当结合评估对象所属体育资源类别、体育专业领域和开发利用情况，关注其权属、品质、影响力和使用效应等价值影响因素。</w:t>
      </w:r>
    </w:p>
    <w:p w14:paraId="5ADE34CF"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（一）对与体育赛事相关的无形资产，重点关注运动项目类型、赛事举办地点、赛事级别与规模、赛事运作理念与组织水平、赛事知名度与影响力、目标参与人群和赛事赞助情况等</w:t>
      </w:r>
      <w:r>
        <w:rPr>
          <w:rFonts w:ascii="仿宋_GB2312" w:eastAsia="仿宋_GB2312" w:hAnsi="华文中宋" w:cs="华文仿宋"/>
          <w:color w:val="000000"/>
          <w:kern w:val="0"/>
          <w:sz w:val="32"/>
          <w:szCs w:val="32"/>
        </w:rPr>
        <w:t>。</w:t>
      </w:r>
    </w:p>
    <w:p w14:paraId="199CCAAF"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（二）对与体育专业人员相关的无形资产，重点关注体育专业人员的知名度与美誉度、专业类别、转会费水平、技能水平与竞技状态、年龄与服役期限等。</w:t>
      </w:r>
    </w:p>
    <w:p w14:paraId="2F185B1D"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（三）对与体育组织相关的无形资产，重点关注体育社团的知名度、专业类别、体育人力资源和运营水平等，体育企业的主营业务类型、拥有的资质与资格、比赛成绩与排名、知名度等。</w:t>
      </w:r>
    </w:p>
    <w:p w14:paraId="546C4292"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（四）对与体育场馆相关的无形资产，重点关注体育场馆的知名度、地理位置、规模、新旧程度、运营水平等。</w:t>
      </w:r>
    </w:p>
    <w:p w14:paraId="5842CF7A"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olor w:val="000000"/>
          <w:kern w:val="0"/>
          <w:sz w:val="32"/>
          <w:szCs w:val="32"/>
        </w:rPr>
      </w:pPr>
      <w:r>
        <w:rPr>
          <w:rFonts w:ascii="仿宋_GB2312" w:eastAsia="仿宋_GB2312" w:hAnsi="华文中宋" w:cs="华文仿宋" w:hint="eastAsia"/>
          <w:b/>
          <w:color w:val="000000"/>
          <w:kern w:val="0"/>
          <w:sz w:val="32"/>
          <w:szCs w:val="32"/>
        </w:rPr>
        <w:t>第三十条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【评估假设和条件】执行体育无形资产评估</w:t>
      </w:r>
      <w:r>
        <w:rPr>
          <w:rFonts w:ascii="仿宋_GB2312" w:eastAsia="仿宋_GB2312" w:hAnsi="华文中宋" w:cs="华文仿宋" w:hint="eastAsia"/>
          <w:color w:val="000000"/>
          <w:kern w:val="0"/>
          <w:sz w:val="32"/>
          <w:szCs w:val="32"/>
        </w:rPr>
        <w:lastRenderedPageBreak/>
        <w:t>业务，应当合理使用评估假设</w:t>
      </w:r>
      <w:r>
        <w:rPr>
          <w:rFonts w:ascii="仿宋_GB2312" w:eastAsia="仿宋_GB2312" w:hAnsi="华文中宋" w:hint="eastAsia"/>
          <w:color w:val="000000"/>
          <w:sz w:val="32"/>
          <w:szCs w:val="32"/>
        </w:rPr>
        <w:t>和限制条件</w:t>
      </w:r>
      <w:r>
        <w:rPr>
          <w:rFonts w:ascii="仿宋_GB2312" w:eastAsia="仿宋_GB2312" w:hAnsi="华文中宋" w:cs="华文仿宋" w:hint="eastAsia"/>
          <w:color w:val="000000"/>
          <w:kern w:val="0"/>
          <w:sz w:val="32"/>
          <w:szCs w:val="32"/>
        </w:rPr>
        <w:t>。</w:t>
      </w:r>
    </w:p>
    <w:p w14:paraId="161E5F81"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olor w:val="000000"/>
          <w:kern w:val="0"/>
          <w:sz w:val="32"/>
          <w:szCs w:val="32"/>
        </w:rPr>
      </w:pPr>
      <w:r>
        <w:rPr>
          <w:rFonts w:ascii="仿宋_GB2312" w:eastAsia="仿宋_GB2312" w:hAnsi="华文中宋" w:cs="华文仿宋" w:hint="eastAsia"/>
          <w:b/>
          <w:color w:val="000000"/>
          <w:kern w:val="0"/>
          <w:sz w:val="32"/>
          <w:szCs w:val="32"/>
        </w:rPr>
        <w:t>第三十一条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【共同作用】执行体育无形资产评估业务，应当分析判断评估对象是否与其他资产共同发挥作用。</w:t>
      </w:r>
    </w:p>
    <w:p w14:paraId="264285B9" w14:textId="77777777" w:rsidR="00D856BB" w:rsidRDefault="009654E4" w:rsidP="0092666C">
      <w:pPr>
        <w:pStyle w:val="10"/>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评估对象与其他资产共同发挥作用，</w:t>
      </w:r>
      <w:r>
        <w:rPr>
          <w:rFonts w:ascii="仿宋_GB2312" w:eastAsia="仿宋_GB2312" w:hAnsi="华文中宋" w:cs="华文仿宋"/>
          <w:color w:val="000000"/>
          <w:kern w:val="0"/>
          <w:sz w:val="32"/>
          <w:szCs w:val="32"/>
        </w:rPr>
        <w:t>应当分析</w:t>
      </w:r>
      <w:r>
        <w:rPr>
          <w:rFonts w:ascii="仿宋_GB2312" w:eastAsia="仿宋_GB2312" w:hAnsi="华文中宋" w:cs="华文仿宋" w:hint="eastAsia"/>
          <w:color w:val="000000"/>
          <w:kern w:val="0"/>
          <w:sz w:val="32"/>
          <w:szCs w:val="32"/>
        </w:rPr>
        <w:t>其他</w:t>
      </w:r>
      <w:r>
        <w:rPr>
          <w:rFonts w:ascii="仿宋_GB2312" w:eastAsia="仿宋_GB2312" w:hAnsi="华文中宋" w:cs="华文仿宋"/>
          <w:color w:val="000000"/>
          <w:kern w:val="0"/>
          <w:sz w:val="32"/>
          <w:szCs w:val="32"/>
        </w:rPr>
        <w:t>资产对</w:t>
      </w:r>
      <w:r>
        <w:rPr>
          <w:rFonts w:ascii="仿宋_GB2312" w:eastAsia="仿宋_GB2312" w:hAnsi="华文中宋" w:cs="华文仿宋" w:hint="eastAsia"/>
          <w:color w:val="000000"/>
          <w:kern w:val="0"/>
          <w:sz w:val="32"/>
          <w:szCs w:val="32"/>
        </w:rPr>
        <w:t>整体收益的贡献及其对评估对象</w:t>
      </w:r>
      <w:r>
        <w:rPr>
          <w:rFonts w:ascii="仿宋_GB2312" w:eastAsia="仿宋_GB2312" w:hAnsi="华文中宋" w:cs="华文仿宋"/>
          <w:color w:val="000000"/>
          <w:kern w:val="0"/>
          <w:sz w:val="32"/>
          <w:szCs w:val="32"/>
        </w:rPr>
        <w:t>价值的影响</w:t>
      </w:r>
      <w:r>
        <w:rPr>
          <w:rFonts w:ascii="仿宋_GB2312" w:eastAsia="仿宋_GB2312" w:hAnsi="华文中宋" w:cs="华文仿宋" w:hint="eastAsia"/>
          <w:color w:val="000000"/>
          <w:kern w:val="0"/>
          <w:sz w:val="32"/>
          <w:szCs w:val="32"/>
        </w:rPr>
        <w:t>。</w:t>
      </w:r>
    </w:p>
    <w:p w14:paraId="6110C3FA" w14:textId="77777777" w:rsidR="00D856BB" w:rsidRPr="00105918" w:rsidRDefault="009654E4" w:rsidP="0092666C">
      <w:pPr>
        <w:pStyle w:val="3"/>
        <w:adjustRightInd w:val="0"/>
        <w:snapToGrid w:val="0"/>
        <w:spacing w:beforeLines="50" w:before="204" w:afterLines="50" w:after="204" w:line="360" w:lineRule="auto"/>
        <w:jc w:val="center"/>
        <w:rPr>
          <w:rFonts w:ascii="黑体" w:eastAsia="黑体" w:hAnsi="黑体"/>
          <w:b w:val="0"/>
          <w:bCs w:val="0"/>
        </w:rPr>
      </w:pPr>
      <w:r w:rsidRPr="00105918">
        <w:rPr>
          <w:rFonts w:ascii="黑体" w:eastAsia="黑体" w:hAnsi="黑体" w:hint="eastAsia"/>
          <w:b w:val="0"/>
          <w:bCs w:val="0"/>
        </w:rPr>
        <w:t>第五章</w:t>
      </w:r>
      <w:r w:rsidRPr="00105918">
        <w:rPr>
          <w:rFonts w:ascii="黑体" w:eastAsia="黑体" w:hAnsi="黑体"/>
          <w:b w:val="0"/>
          <w:bCs w:val="0"/>
        </w:rPr>
        <w:t xml:space="preserve">  </w:t>
      </w:r>
      <w:r w:rsidRPr="00105918">
        <w:rPr>
          <w:rFonts w:ascii="黑体" w:eastAsia="黑体" w:hAnsi="黑体" w:hint="eastAsia"/>
          <w:b w:val="0"/>
          <w:bCs w:val="0"/>
        </w:rPr>
        <w:t>评估方法</w:t>
      </w:r>
    </w:p>
    <w:p w14:paraId="5B3B2962"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第三十二条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评估方法的选择】执行体育产业无形资产评估业务，应当根据评估目的、评估对象、价值类型、资料收集等情况，分析收益法、市场法和成本法三种资产评估基本方法的适用性，恰当选择一种或者多种资产评估方法。</w:t>
      </w:r>
    </w:p>
    <w:p w14:paraId="07AF6D18"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第三十三条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【收益预测考虑因素】</w:t>
      </w:r>
      <w:r>
        <w:rPr>
          <w:rFonts w:ascii="仿宋_GB2312" w:eastAsia="仿宋_GB2312" w:hAnsi="华文中宋" w:cs="华文仿宋"/>
          <w:color w:val="000000"/>
          <w:kern w:val="0"/>
          <w:sz w:val="32"/>
          <w:szCs w:val="32"/>
        </w:rPr>
        <w:t>采用收益法评估</w:t>
      </w:r>
      <w:r>
        <w:rPr>
          <w:rFonts w:ascii="仿宋_GB2312" w:eastAsia="仿宋_GB2312" w:hAnsi="华文中宋" w:cs="华文仿宋" w:hint="eastAsia"/>
          <w:color w:val="000000"/>
          <w:kern w:val="0"/>
          <w:sz w:val="32"/>
          <w:szCs w:val="32"/>
        </w:rPr>
        <w:t>体育无形</w:t>
      </w:r>
      <w:r>
        <w:rPr>
          <w:rFonts w:ascii="仿宋_GB2312" w:eastAsia="仿宋_GB2312" w:hAnsi="华文中宋" w:cs="华文仿宋"/>
          <w:color w:val="000000"/>
          <w:kern w:val="0"/>
          <w:sz w:val="32"/>
          <w:szCs w:val="32"/>
        </w:rPr>
        <w:t>资产，应当根据</w:t>
      </w:r>
      <w:r>
        <w:rPr>
          <w:rFonts w:ascii="仿宋_GB2312" w:eastAsia="仿宋_GB2312" w:hAnsi="华文中宋" w:cs="华文仿宋" w:hint="eastAsia"/>
          <w:color w:val="000000"/>
          <w:kern w:val="0"/>
          <w:sz w:val="32"/>
          <w:szCs w:val="32"/>
        </w:rPr>
        <w:t>无形</w:t>
      </w:r>
      <w:r>
        <w:rPr>
          <w:rFonts w:ascii="仿宋_GB2312" w:eastAsia="仿宋_GB2312" w:hAnsi="华文中宋" w:cs="华文仿宋"/>
          <w:color w:val="000000"/>
          <w:kern w:val="0"/>
          <w:sz w:val="32"/>
          <w:szCs w:val="32"/>
        </w:rPr>
        <w:t>资产</w:t>
      </w:r>
      <w:r>
        <w:rPr>
          <w:rFonts w:ascii="仿宋_GB2312" w:eastAsia="仿宋_GB2312" w:hAnsi="华文中宋" w:cs="华文仿宋" w:hint="eastAsia"/>
          <w:color w:val="000000"/>
          <w:kern w:val="0"/>
          <w:sz w:val="32"/>
          <w:szCs w:val="32"/>
        </w:rPr>
        <w:t>的商业</w:t>
      </w:r>
      <w:r>
        <w:rPr>
          <w:rFonts w:ascii="仿宋_GB2312" w:eastAsia="仿宋_GB2312" w:hAnsi="华文中宋" w:cs="华文仿宋"/>
          <w:color w:val="000000"/>
          <w:kern w:val="0"/>
          <w:sz w:val="32"/>
          <w:szCs w:val="32"/>
        </w:rPr>
        <w:t>运营模式</w:t>
      </w:r>
      <w:r>
        <w:rPr>
          <w:rFonts w:ascii="仿宋_GB2312" w:eastAsia="仿宋_GB2312" w:hAnsi="华文中宋" w:cs="华文仿宋" w:hint="eastAsia"/>
          <w:color w:val="000000"/>
          <w:kern w:val="0"/>
          <w:sz w:val="32"/>
          <w:szCs w:val="32"/>
        </w:rPr>
        <w:t>，考虑体育无形资产相关产品或者服务的运营主体资质、体育基础设施投入和管理水平、公众参与规模和参与度等因素，合理确定体育无形资产相关产品和服务的收益水平。</w:t>
      </w:r>
    </w:p>
    <w:p w14:paraId="6FF8F90C"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第三十四条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【收益预测具体方法】体育无形资产未来收益</w:t>
      </w:r>
      <w:r>
        <w:rPr>
          <w:rFonts w:ascii="仿宋_GB2312" w:eastAsia="仿宋_GB2312" w:hAnsi="华文中宋" w:cs="华文仿宋"/>
          <w:color w:val="000000"/>
          <w:kern w:val="0"/>
          <w:sz w:val="32"/>
          <w:szCs w:val="32"/>
        </w:rPr>
        <w:t>可以通过</w:t>
      </w:r>
      <w:r>
        <w:rPr>
          <w:rFonts w:ascii="仿宋_GB2312" w:eastAsia="仿宋_GB2312" w:hAnsi="华文中宋" w:cs="华文仿宋" w:hint="eastAsia"/>
          <w:color w:val="000000"/>
          <w:kern w:val="0"/>
          <w:sz w:val="32"/>
          <w:szCs w:val="32"/>
        </w:rPr>
        <w:t>分析计算</w:t>
      </w:r>
      <w:r>
        <w:rPr>
          <w:rFonts w:ascii="仿宋_GB2312" w:eastAsia="仿宋_GB2312" w:hAnsi="华文中宋" w:cs="华文仿宋"/>
          <w:color w:val="000000"/>
          <w:kern w:val="0"/>
          <w:sz w:val="32"/>
          <w:szCs w:val="32"/>
        </w:rPr>
        <w:t>节省许可费</w:t>
      </w:r>
      <w:r>
        <w:rPr>
          <w:rFonts w:ascii="仿宋_GB2312" w:eastAsia="仿宋_GB2312" w:hAnsi="华文中宋" w:cs="华文仿宋" w:hint="eastAsia"/>
          <w:color w:val="000000"/>
          <w:kern w:val="0"/>
          <w:sz w:val="32"/>
          <w:szCs w:val="32"/>
        </w:rPr>
        <w:t>（</w:t>
      </w:r>
      <w:r>
        <w:rPr>
          <w:rFonts w:ascii="仿宋_GB2312" w:eastAsia="仿宋_GB2312" w:hAnsi="华文中宋" w:cs="华文仿宋"/>
          <w:color w:val="000000"/>
          <w:kern w:val="0"/>
          <w:sz w:val="32"/>
          <w:szCs w:val="32"/>
        </w:rPr>
        <w:t>收益分成</w:t>
      </w:r>
      <w:r>
        <w:rPr>
          <w:rFonts w:ascii="仿宋_GB2312" w:eastAsia="仿宋_GB2312" w:hAnsi="华文中宋" w:cs="华文仿宋" w:hint="eastAsia"/>
          <w:color w:val="000000"/>
          <w:kern w:val="0"/>
          <w:sz w:val="32"/>
          <w:szCs w:val="32"/>
        </w:rPr>
        <w:t>）</w:t>
      </w:r>
      <w:r>
        <w:rPr>
          <w:rFonts w:ascii="仿宋_GB2312" w:eastAsia="仿宋_GB2312" w:hAnsi="华文中宋" w:cs="华文仿宋"/>
          <w:color w:val="000000"/>
          <w:kern w:val="0"/>
          <w:sz w:val="32"/>
          <w:szCs w:val="32"/>
        </w:rPr>
        <w:t>、增量收益或者超额收益等方式</w:t>
      </w:r>
      <w:r>
        <w:rPr>
          <w:rFonts w:ascii="仿宋_GB2312" w:eastAsia="仿宋_GB2312" w:hAnsi="华文中宋" w:cs="华文仿宋" w:hint="eastAsia"/>
          <w:color w:val="000000"/>
          <w:kern w:val="0"/>
          <w:sz w:val="32"/>
          <w:szCs w:val="32"/>
        </w:rPr>
        <w:t>进行预测</w:t>
      </w: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对应的收益</w:t>
      </w:r>
      <w:proofErr w:type="gramStart"/>
      <w:r>
        <w:rPr>
          <w:rFonts w:ascii="仿宋_GB2312" w:eastAsia="仿宋_GB2312" w:hAnsi="华文中宋" w:cs="华文仿宋" w:hint="eastAsia"/>
          <w:color w:val="000000"/>
          <w:kern w:val="0"/>
          <w:sz w:val="32"/>
          <w:szCs w:val="32"/>
        </w:rPr>
        <w:t>法具体</w:t>
      </w:r>
      <w:proofErr w:type="gramEnd"/>
      <w:r>
        <w:rPr>
          <w:rFonts w:ascii="仿宋_GB2312" w:eastAsia="仿宋_GB2312" w:hAnsi="华文中宋" w:cs="华文仿宋" w:hint="eastAsia"/>
          <w:color w:val="000000"/>
          <w:kern w:val="0"/>
          <w:sz w:val="32"/>
          <w:szCs w:val="32"/>
        </w:rPr>
        <w:t>方法分别称作为节省许可使用费法、增量收益法和超额收益法。</w:t>
      </w:r>
    </w:p>
    <w:p w14:paraId="3D773E91"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第三十五条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【节省许可使用费法】节省许可使用费法通过分析计算体育无形资产权利主体拥有评估对象所能节</w:t>
      </w:r>
      <w:r>
        <w:rPr>
          <w:rFonts w:ascii="仿宋_GB2312" w:eastAsia="仿宋_GB2312" w:hAnsi="华文中宋" w:cs="华文仿宋" w:hint="eastAsia"/>
          <w:color w:val="000000"/>
          <w:kern w:val="0"/>
          <w:sz w:val="32"/>
          <w:szCs w:val="32"/>
        </w:rPr>
        <w:lastRenderedPageBreak/>
        <w:t>省的许可使用费支出，或者授权他人使用评估对象可获得的许可使用费收入的现值确定评估对象价值。</w:t>
      </w:r>
    </w:p>
    <w:p w14:paraId="22A8083C"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（一）体育无形资产的许可使用费可以参考评估对象已有许可使用合同约定的收费方式和收费水平，或者市场上相同或者相似无形资产的许可使用费率，结合评估对象未来发展情况进行分析预测。</w:t>
      </w:r>
    </w:p>
    <w:p w14:paraId="2350AB2F"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（二）预测体育无形资产许可使用费，应当关注无形资产许可使用方式、条件、范围、期限，以及无形资产相关商业活动的收入和成本分配机制、各方的权利和义务等合同约定事项对评估对象价值的影响。</w:t>
      </w:r>
    </w:p>
    <w:p w14:paraId="68C3E531"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第三十六条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增量收益法】增量收益法通过分析计算体育无形资产权利主体的收益相比于同等条件下未拥有评估对象的收益增量现值，或者与不拥有评估对象的同行业相似经营主体相比而获得的增量收益现值，确定评估对象价值。</w:t>
      </w:r>
    </w:p>
    <w:p w14:paraId="3E3C6EB4"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（一）预测体育无形资产的增量收益，应当分析判断体育无形资产的增量收益是来自于收入增长，还是成本费用节约，或者两者兼而有之。</w:t>
      </w:r>
    </w:p>
    <w:p w14:paraId="2F6FCA6E"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（二）预测体育无形资产的增量收益，应当了解体育无形资产的商业运营模式，合理分析在假设拥有和不拥有评估对象的前提下相关体育产品的知名度、影响力等运营效果。</w:t>
      </w:r>
      <w:r>
        <w:rPr>
          <w:rFonts w:ascii="仿宋_GB2312" w:eastAsia="仿宋_GB2312" w:hAnsi="华文中宋" w:cs="华文仿宋"/>
          <w:color w:val="000000"/>
          <w:kern w:val="0"/>
          <w:sz w:val="32"/>
          <w:szCs w:val="32"/>
        </w:rPr>
        <w:t xml:space="preserve"> </w:t>
      </w:r>
    </w:p>
    <w:p w14:paraId="6EB5AC09" w14:textId="41D6C6FA"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第三十七条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【超额收益法】超额收益法是在剔除其他相关资产对收益的贡献后，通过分析计算归属于评估对象的</w:t>
      </w:r>
      <w:r>
        <w:rPr>
          <w:rFonts w:ascii="仿宋_GB2312" w:eastAsia="仿宋_GB2312" w:hAnsi="华文中宋" w:cs="华文仿宋" w:hint="eastAsia"/>
          <w:color w:val="000000"/>
          <w:kern w:val="0"/>
          <w:sz w:val="32"/>
          <w:szCs w:val="32"/>
        </w:rPr>
        <w:lastRenderedPageBreak/>
        <w:t>收益现值确定评估对象的价值。</w:t>
      </w:r>
    </w:p>
    <w:p w14:paraId="4A95B973" w14:textId="725011B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与被评估无形资产共同发挥作用的其他相关资产通常包括营运资金、固定资产和其他无形资产等。预测超额收益，应当对体育无形资产权利主体的未来盈利预测进行分析，合理区分被评估无形资产与其他相关资产的收益贡献。</w:t>
      </w:r>
    </w:p>
    <w:p w14:paraId="6CF84512" w14:textId="77777777" w:rsidR="00D856BB" w:rsidRDefault="009654E4" w:rsidP="0092666C">
      <w:pPr>
        <w:pStyle w:val="10"/>
        <w:tabs>
          <w:tab w:val="left" w:pos="1701"/>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（二）采用多期超额收益法评估体育无形资产，应当关注体育无形资产的时效性和生命周期特征，超过</w:t>
      </w:r>
      <w:proofErr w:type="gramStart"/>
      <w:r>
        <w:rPr>
          <w:rFonts w:ascii="仿宋_GB2312" w:eastAsia="仿宋_GB2312" w:hAnsi="华文中宋" w:cs="华文仿宋" w:hint="eastAsia"/>
          <w:color w:val="000000"/>
          <w:kern w:val="0"/>
          <w:sz w:val="32"/>
          <w:szCs w:val="32"/>
        </w:rPr>
        <w:t>一</w:t>
      </w:r>
      <w:proofErr w:type="gramEnd"/>
      <w:r>
        <w:rPr>
          <w:rFonts w:ascii="仿宋_GB2312" w:eastAsia="仿宋_GB2312" w:hAnsi="华文中宋" w:cs="华文仿宋" w:hint="eastAsia"/>
          <w:color w:val="000000"/>
          <w:kern w:val="0"/>
          <w:sz w:val="32"/>
          <w:szCs w:val="32"/>
        </w:rPr>
        <w:t>定时限，未来收益水平将产生较大变化。</w:t>
      </w:r>
    </w:p>
    <w:p w14:paraId="0B7EAAA5"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第三十八条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【收益期限】采用收益法评估体育无形资产，应当合理确定评估对象的收益期限。</w:t>
      </w:r>
    </w:p>
    <w:p w14:paraId="15652D06"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评估对象的收益期限取决于相关无形资产产生增量收益或者超额收益的时间。确定体育无形资产的收益期限，应当综合考虑相关体育产品的经济寿命期限、相关无形资产法律保护期限、合同有效期限、技术寿命期限和经济寿命期限等影响因素，并按照孰</w:t>
      </w:r>
      <w:proofErr w:type="gramStart"/>
      <w:r>
        <w:rPr>
          <w:rFonts w:ascii="仿宋_GB2312" w:eastAsia="仿宋_GB2312" w:hAnsi="华文中宋" w:cs="华文仿宋" w:hint="eastAsia"/>
          <w:color w:val="000000"/>
          <w:kern w:val="0"/>
          <w:sz w:val="32"/>
          <w:szCs w:val="32"/>
        </w:rPr>
        <w:t>短原则</w:t>
      </w:r>
      <w:proofErr w:type="gramEnd"/>
      <w:r>
        <w:rPr>
          <w:rFonts w:ascii="仿宋_GB2312" w:eastAsia="仿宋_GB2312" w:hAnsi="华文中宋" w:cs="华文仿宋" w:hint="eastAsia"/>
          <w:color w:val="000000"/>
          <w:kern w:val="0"/>
          <w:sz w:val="32"/>
          <w:szCs w:val="32"/>
        </w:rPr>
        <w:t>确定。</w:t>
      </w:r>
    </w:p>
    <w:p w14:paraId="657CF1AE"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第三十九条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采用收益法评估体育无形资产，应当根据评估对象具体情况和收益预测具体方法的需要，恰当选择评估对象的收益口径。</w:t>
      </w:r>
    </w:p>
    <w:p w14:paraId="05508A63"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体育无形资产一般采用税前收益，具体收益指标主要包括收入、利润和现金流量等。</w:t>
      </w:r>
    </w:p>
    <w:p w14:paraId="7DD9BA33"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【折现率】采用收益法评估体育无形资产，应当考虑与评估对象相关的法律风险、市场风险、经营风险、</w:t>
      </w:r>
      <w:r>
        <w:rPr>
          <w:rFonts w:ascii="仿宋_GB2312" w:eastAsia="仿宋_GB2312" w:hAnsi="华文中宋" w:cs="华文仿宋" w:hint="eastAsia"/>
          <w:color w:val="000000"/>
          <w:kern w:val="0"/>
          <w:sz w:val="32"/>
          <w:szCs w:val="32"/>
        </w:rPr>
        <w:lastRenderedPageBreak/>
        <w:t>技术风险和财务风险等，合理确定折现率，并与收益口径保持一致。</w:t>
      </w:r>
    </w:p>
    <w:p w14:paraId="24C9263F"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体育无形资产折现率可以采用风险累加法、回报率拆分法和投资报酬率法等方法估算。体育无形资产</w:t>
      </w:r>
      <w:r>
        <w:rPr>
          <w:rFonts w:ascii="仿宋_GB2312" w:eastAsia="仿宋_GB2312" w:hAnsi="华文中宋" w:cs="华文仿宋"/>
          <w:color w:val="000000"/>
          <w:kern w:val="0"/>
          <w:sz w:val="32"/>
          <w:szCs w:val="32"/>
        </w:rPr>
        <w:t>折现率应当有别于企业或者其他资产折现率。</w:t>
      </w:r>
    </w:p>
    <w:p w14:paraId="53CD1222"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第四十一条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【交易案例的选择】采用市场法评估体育无形资产，应当根据所获取交易案例与评估对象的相似程度、交易案例相关数据的充分性和可靠性等因素，恰当选择可比交易案例。</w:t>
      </w:r>
    </w:p>
    <w:p w14:paraId="7D3D749F"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第四十二条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【价值比率】采用市场法评估体育无形资产，可以根据各类评估对象的特点，分析判断交易价格修正法和价值比率修正法的适用性。</w:t>
      </w:r>
    </w:p>
    <w:p w14:paraId="39AFE289"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采用价值比率修正法评估体育无形资产，</w:t>
      </w:r>
      <w:r>
        <w:rPr>
          <w:rFonts w:ascii="仿宋_GB2312" w:eastAsia="仿宋_GB2312" w:hAnsi="华文中宋" w:cs="华文仿宋"/>
          <w:color w:val="000000"/>
          <w:kern w:val="0"/>
          <w:sz w:val="32"/>
          <w:szCs w:val="32"/>
        </w:rPr>
        <w:t>价值</w:t>
      </w:r>
      <w:r>
        <w:rPr>
          <w:rFonts w:ascii="仿宋_GB2312" w:eastAsia="仿宋_GB2312" w:hAnsi="华文中宋" w:cs="华文仿宋" w:hint="eastAsia"/>
          <w:color w:val="000000"/>
          <w:kern w:val="0"/>
          <w:sz w:val="32"/>
          <w:szCs w:val="32"/>
        </w:rPr>
        <w:t>比率通常表现为交易价格或者价值与财务指标或者非财务指标之比。</w:t>
      </w:r>
    </w:p>
    <w:p w14:paraId="2B927577"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第四十三条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差异修正因素】采用市场法评估体育无形资产，应当分析评估对象与可比交易案例在交易时间、交易背景、交易标的及其相关体育产品的法律特征、经济特征和技术特征等方面的差异，并考虑该差异因素对无形资产价值的影响。</w:t>
      </w:r>
    </w:p>
    <w:p w14:paraId="2CB12BF3"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（一）对与体育赛事相关的无形资产，个体特征差异因素主要包括赛事知名度与影响力、赛事盈利能力和赛事组织管理水平等</w:t>
      </w:r>
      <w:r>
        <w:rPr>
          <w:rFonts w:ascii="仿宋_GB2312" w:eastAsia="仿宋_GB2312" w:hAnsi="华文中宋" w:cs="华文仿宋"/>
          <w:color w:val="000000"/>
          <w:kern w:val="0"/>
          <w:sz w:val="32"/>
          <w:szCs w:val="32"/>
        </w:rPr>
        <w:t>。</w:t>
      </w:r>
    </w:p>
    <w:p w14:paraId="23EFDB53" w14:textId="77777777" w:rsidR="00D856BB" w:rsidRDefault="009654E4" w:rsidP="0092666C">
      <w:pPr>
        <w:autoSpaceDE w:val="0"/>
        <w:autoSpaceDN w:val="0"/>
        <w:adjustRightInd w:val="0"/>
        <w:snapToGrid w:val="0"/>
        <w:spacing w:line="360" w:lineRule="auto"/>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lastRenderedPageBreak/>
        <w:t>（二）对与体育专业人员相关的无形资产，个体特征差异因素主要包括体育专业人员的知名度与美誉度、技能水平与竞技状态、年龄与服役期限等。</w:t>
      </w:r>
    </w:p>
    <w:p w14:paraId="43BDD505"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第四十四条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【成本法的适用性】采用成本法评估体育产业无形资产，应当分析无形资产投入成本与价值的相关程度，恰当考虑成本法的适用性。</w:t>
      </w:r>
    </w:p>
    <w:p w14:paraId="64A200CC"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第四十五条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【重置成本】采用成本法评估体育产业无形资产，应当结合评估对象和范围合理确定评估对象的重置成本。</w:t>
      </w:r>
    </w:p>
    <w:p w14:paraId="36058619" w14:textId="77777777" w:rsidR="00D856BB" w:rsidRDefault="009654E4" w:rsidP="0092666C">
      <w:pPr>
        <w:pStyle w:val="10"/>
        <w:tabs>
          <w:tab w:val="left" w:pos="1985"/>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重置成本包括合理的成本、利润和相关税费等。资产评估专业人员应当结合形成无形资产所需的研发人员、管理人员、材料、设备、场地等投入要素，合理确定评估对象的重置成本。</w:t>
      </w:r>
    </w:p>
    <w:p w14:paraId="0CF64DD1"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第四十六条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【贬值】采用成本法评估体育产业无形资产，应当综合分析评估对象的价值变化规律，在量化分析的基础上，合理确定评估对象的贬值。</w:t>
      </w:r>
    </w:p>
    <w:p w14:paraId="60141182"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第四十七条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【多种评估方法结论的形成】</w:t>
      </w:r>
      <w:r>
        <w:rPr>
          <w:rFonts w:ascii="仿宋_GB2312" w:eastAsia="仿宋_GB2312" w:hAnsi="华文中宋" w:cs="华文仿宋"/>
          <w:color w:val="000000"/>
          <w:kern w:val="0"/>
          <w:sz w:val="32"/>
          <w:szCs w:val="32"/>
        </w:rPr>
        <w:t>当满足采用不同评估方法的条件时，资产评估专业人员应当选择两种或者两种以上评估方法，通过综合分析形成合理评估结论。</w:t>
      </w:r>
    </w:p>
    <w:p w14:paraId="7CF0861C"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第四十八条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【敏感性分析】资产评估专业人员在切实可行的情况下，应当进行敏感性分析来评估收益预测中敏感假设条件对评估结论的影响。涉及到多个敏感假设条件的，</w:t>
      </w:r>
      <w:r>
        <w:rPr>
          <w:rFonts w:ascii="仿宋_GB2312" w:eastAsia="仿宋_GB2312" w:hAnsi="华文中宋" w:cs="华文仿宋" w:hint="eastAsia"/>
          <w:color w:val="000000"/>
          <w:kern w:val="0"/>
          <w:sz w:val="32"/>
          <w:szCs w:val="32"/>
        </w:rPr>
        <w:lastRenderedPageBreak/>
        <w:t>可以进行多因素情景分析，对评估结论的形成提供基于不同假设前提下的分析依据</w:t>
      </w:r>
      <w:r>
        <w:rPr>
          <w:rFonts w:ascii="仿宋_GB2312" w:eastAsia="仿宋_GB2312" w:hAnsi="华文中宋" w:cs="华文仿宋"/>
          <w:color w:val="000000"/>
          <w:kern w:val="0"/>
          <w:sz w:val="32"/>
          <w:szCs w:val="32"/>
        </w:rPr>
        <w:t>。</w:t>
      </w:r>
    </w:p>
    <w:p w14:paraId="3255D0DD" w14:textId="77777777" w:rsidR="00D856BB" w:rsidRPr="00105918" w:rsidRDefault="009654E4" w:rsidP="0092666C">
      <w:pPr>
        <w:pStyle w:val="3"/>
        <w:adjustRightInd w:val="0"/>
        <w:snapToGrid w:val="0"/>
        <w:spacing w:beforeLines="50" w:before="204" w:afterLines="50" w:after="204" w:line="360" w:lineRule="auto"/>
        <w:jc w:val="center"/>
        <w:rPr>
          <w:rFonts w:ascii="黑体" w:eastAsia="黑体" w:hAnsi="黑体"/>
          <w:b w:val="0"/>
          <w:bCs w:val="0"/>
        </w:rPr>
      </w:pPr>
      <w:r w:rsidRPr="00105918">
        <w:rPr>
          <w:rFonts w:ascii="黑体" w:eastAsia="黑体" w:hAnsi="黑体" w:hint="eastAsia"/>
          <w:b w:val="0"/>
          <w:bCs w:val="0"/>
        </w:rPr>
        <w:t>第六章</w:t>
      </w:r>
      <w:r w:rsidRPr="00105918">
        <w:rPr>
          <w:rFonts w:ascii="黑体" w:eastAsia="黑体" w:hAnsi="黑体"/>
          <w:b w:val="0"/>
          <w:bCs w:val="0"/>
        </w:rPr>
        <w:t xml:space="preserve">  </w:t>
      </w:r>
      <w:r w:rsidRPr="00105918">
        <w:rPr>
          <w:rFonts w:ascii="黑体" w:eastAsia="黑体" w:hAnsi="黑体" w:hint="eastAsia"/>
          <w:b w:val="0"/>
          <w:bCs w:val="0"/>
        </w:rPr>
        <w:t>披露要求</w:t>
      </w:r>
    </w:p>
    <w:p w14:paraId="213A8F52" w14:textId="77777777"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第四十九条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【信息披露基本要求】执行体育无形资产评估业务，应当</w:t>
      </w:r>
      <w:r>
        <w:rPr>
          <w:rFonts w:ascii="仿宋_GB2312" w:eastAsia="仿宋_GB2312" w:hAnsi="华文中宋" w:cs="华文仿宋"/>
          <w:color w:val="000000"/>
          <w:kern w:val="0"/>
          <w:sz w:val="32"/>
          <w:szCs w:val="32"/>
        </w:rPr>
        <w:t>在资产评估报告中披露必要信息，使资产评估报告使用人能够正确理解评估结论。</w:t>
      </w:r>
    </w:p>
    <w:p w14:paraId="5E98F8E1" w14:textId="1DE028ED"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第五十条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【重点披露信息】体育无形资产评估报告应当反映体育无形资产特点，重点披露以下内容：</w:t>
      </w:r>
    </w:p>
    <w:p w14:paraId="2D90C381" w14:textId="77777777"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（一）体育无形资产的基本内容及其法律、经济和技术特征；</w:t>
      </w:r>
    </w:p>
    <w:p w14:paraId="25A8F7B1" w14:textId="3B8ED9F3"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（二）</w:t>
      </w:r>
      <w:r>
        <w:rPr>
          <w:rFonts w:ascii="仿宋_GB2312" w:eastAsia="仿宋_GB2312" w:hAnsi="华文中宋" w:cs="华文仿宋" w:hint="eastAsia"/>
          <w:color w:val="000000"/>
          <w:kern w:val="0"/>
          <w:sz w:val="32"/>
          <w:szCs w:val="32"/>
        </w:rPr>
        <w:t>体育</w:t>
      </w:r>
      <w:r>
        <w:rPr>
          <w:rFonts w:ascii="仿宋_GB2312" w:eastAsia="仿宋_GB2312" w:hAnsi="华文中宋" w:cs="华文仿宋"/>
          <w:color w:val="000000"/>
          <w:kern w:val="0"/>
          <w:sz w:val="32"/>
          <w:szCs w:val="32"/>
        </w:rPr>
        <w:t>无形资产</w:t>
      </w:r>
      <w:r>
        <w:rPr>
          <w:rFonts w:ascii="仿宋_GB2312" w:eastAsia="仿宋_GB2312" w:hAnsi="华文中宋" w:cs="华文仿宋" w:hint="eastAsia"/>
          <w:color w:val="000000"/>
          <w:kern w:val="0"/>
          <w:sz w:val="32"/>
          <w:szCs w:val="32"/>
        </w:rPr>
        <w:t>权利人和使用人的基本情况</w:t>
      </w:r>
      <w:r>
        <w:rPr>
          <w:rFonts w:ascii="仿宋_GB2312" w:eastAsia="仿宋_GB2312" w:hAnsi="华文中宋" w:cs="华文仿宋"/>
          <w:color w:val="000000"/>
          <w:kern w:val="0"/>
          <w:sz w:val="32"/>
          <w:szCs w:val="32"/>
        </w:rPr>
        <w:t>；</w:t>
      </w:r>
    </w:p>
    <w:p w14:paraId="5E33143F" w14:textId="724C0E8C"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（三）</w:t>
      </w:r>
      <w:r>
        <w:rPr>
          <w:rFonts w:ascii="仿宋_GB2312" w:eastAsia="仿宋_GB2312" w:hAnsi="华文中宋" w:cs="华文仿宋" w:hint="eastAsia"/>
          <w:color w:val="000000"/>
          <w:kern w:val="0"/>
          <w:sz w:val="32"/>
          <w:szCs w:val="32"/>
        </w:rPr>
        <w:t>体育无形资产相关产业发展现状和前景</w:t>
      </w:r>
      <w:r>
        <w:rPr>
          <w:rFonts w:ascii="仿宋_GB2312" w:eastAsia="仿宋_GB2312" w:hAnsi="华文中宋" w:cs="华文仿宋"/>
          <w:color w:val="000000"/>
          <w:kern w:val="0"/>
          <w:sz w:val="32"/>
          <w:szCs w:val="32"/>
        </w:rPr>
        <w:t>；</w:t>
      </w:r>
    </w:p>
    <w:p w14:paraId="689C91A5" w14:textId="58B918EB"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（四）</w:t>
      </w:r>
      <w:r>
        <w:rPr>
          <w:rFonts w:ascii="仿宋_GB2312" w:eastAsia="仿宋_GB2312" w:hAnsi="华文中宋" w:cs="华文仿宋" w:hint="eastAsia"/>
          <w:color w:val="000000"/>
          <w:kern w:val="0"/>
          <w:sz w:val="32"/>
          <w:szCs w:val="32"/>
        </w:rPr>
        <w:t>体育</w:t>
      </w:r>
      <w:r>
        <w:rPr>
          <w:rFonts w:ascii="仿宋_GB2312" w:eastAsia="仿宋_GB2312" w:hAnsi="华文中宋" w:cs="华文仿宋"/>
          <w:color w:val="000000"/>
          <w:kern w:val="0"/>
          <w:sz w:val="32"/>
          <w:szCs w:val="32"/>
        </w:rPr>
        <w:t>无形资产</w:t>
      </w:r>
      <w:r>
        <w:rPr>
          <w:rFonts w:ascii="仿宋_GB2312" w:eastAsia="仿宋_GB2312" w:hAnsi="华文中宋" w:cs="华文仿宋" w:hint="eastAsia"/>
          <w:color w:val="000000"/>
          <w:kern w:val="0"/>
          <w:sz w:val="32"/>
          <w:szCs w:val="32"/>
        </w:rPr>
        <w:t>开发利用现状及规划</w:t>
      </w:r>
      <w:r>
        <w:rPr>
          <w:rFonts w:ascii="仿宋_GB2312" w:eastAsia="仿宋_GB2312" w:hAnsi="华文中宋" w:cs="华文仿宋"/>
          <w:color w:val="000000"/>
          <w:kern w:val="0"/>
          <w:sz w:val="32"/>
          <w:szCs w:val="32"/>
        </w:rPr>
        <w:t>；</w:t>
      </w:r>
    </w:p>
    <w:p w14:paraId="598C6232" w14:textId="77777777"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（五）</w:t>
      </w:r>
      <w:r>
        <w:rPr>
          <w:rFonts w:ascii="仿宋_GB2312" w:eastAsia="仿宋_GB2312" w:hAnsi="华文中宋" w:cs="华文仿宋" w:hint="eastAsia"/>
          <w:color w:val="000000"/>
          <w:kern w:val="0"/>
          <w:sz w:val="32"/>
          <w:szCs w:val="32"/>
        </w:rPr>
        <w:t>体育无形资产评估价值类型及价值影响因素</w:t>
      </w:r>
      <w:r>
        <w:rPr>
          <w:rFonts w:ascii="仿宋_GB2312" w:eastAsia="仿宋_GB2312" w:hAnsi="华文中宋" w:cs="华文仿宋"/>
          <w:color w:val="000000"/>
          <w:kern w:val="0"/>
          <w:sz w:val="32"/>
          <w:szCs w:val="32"/>
        </w:rPr>
        <w:t>；</w:t>
      </w:r>
    </w:p>
    <w:p w14:paraId="79A010A5" w14:textId="77777777"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六</w:t>
      </w: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评估</w:t>
      </w:r>
      <w:r>
        <w:rPr>
          <w:rFonts w:ascii="仿宋_GB2312" w:eastAsia="仿宋_GB2312" w:hAnsi="华文中宋" w:cs="华文仿宋"/>
          <w:color w:val="000000"/>
          <w:kern w:val="0"/>
          <w:sz w:val="32"/>
          <w:szCs w:val="32"/>
        </w:rPr>
        <w:t>依据的信息来源；</w:t>
      </w:r>
    </w:p>
    <w:p w14:paraId="0CAB8D25" w14:textId="77777777"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七</w:t>
      </w: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评估方法及重要参数的测算过程</w:t>
      </w:r>
      <w:r>
        <w:rPr>
          <w:rFonts w:ascii="仿宋_GB2312" w:eastAsia="仿宋_GB2312" w:hAnsi="华文中宋" w:cs="华文仿宋"/>
          <w:color w:val="000000"/>
          <w:kern w:val="0"/>
          <w:sz w:val="32"/>
          <w:szCs w:val="32"/>
        </w:rPr>
        <w:t>；</w:t>
      </w:r>
    </w:p>
    <w:p w14:paraId="2C527A04" w14:textId="77777777"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八</w:t>
      </w: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评估结论成立的假设前提和限制条件</w:t>
      </w:r>
      <w:r>
        <w:rPr>
          <w:rFonts w:ascii="仿宋_GB2312" w:eastAsia="仿宋_GB2312" w:hAnsi="华文中宋" w:cs="华文仿宋"/>
          <w:color w:val="000000"/>
          <w:kern w:val="0"/>
          <w:sz w:val="32"/>
          <w:szCs w:val="32"/>
        </w:rPr>
        <w:t>；</w:t>
      </w:r>
    </w:p>
    <w:p w14:paraId="731FC06B" w14:textId="77777777"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九</w:t>
      </w: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评估结论及分析；</w:t>
      </w:r>
    </w:p>
    <w:p w14:paraId="2425C853" w14:textId="77777777" w:rsidR="00D856BB" w:rsidRDefault="009654E4" w:rsidP="0092666C">
      <w:pPr>
        <w:pStyle w:val="10"/>
        <w:tabs>
          <w:tab w:val="left" w:pos="2268"/>
        </w:tabs>
        <w:autoSpaceDE w:val="0"/>
        <w:autoSpaceDN w:val="0"/>
        <w:adjustRightInd w:val="0"/>
        <w:snapToGrid w:val="0"/>
        <w:spacing w:line="360" w:lineRule="auto"/>
        <w:ind w:firstLine="640"/>
        <w:rPr>
          <w:rFonts w:ascii="仿宋_GB2312" w:eastAsia="仿宋_GB2312" w:hAnsi="华文中宋" w:cs="华文仿宋"/>
          <w:color w:val="000000"/>
          <w:kern w:val="0"/>
          <w:sz w:val="32"/>
          <w:szCs w:val="32"/>
        </w:rPr>
      </w:pPr>
      <w:r>
        <w:rPr>
          <w:rFonts w:ascii="仿宋_GB2312" w:eastAsia="仿宋_GB2312" w:hAnsi="华文中宋" w:cs="华文仿宋"/>
          <w:color w:val="000000"/>
          <w:kern w:val="0"/>
          <w:sz w:val="32"/>
          <w:szCs w:val="32"/>
        </w:rPr>
        <w:t>（</w:t>
      </w:r>
      <w:r>
        <w:rPr>
          <w:rFonts w:ascii="仿宋_GB2312" w:eastAsia="仿宋_GB2312" w:hAnsi="华文中宋" w:cs="华文仿宋" w:hint="eastAsia"/>
          <w:color w:val="000000"/>
          <w:kern w:val="0"/>
          <w:sz w:val="32"/>
          <w:szCs w:val="32"/>
        </w:rPr>
        <w:t>十</w:t>
      </w:r>
      <w:r>
        <w:rPr>
          <w:rFonts w:ascii="仿宋_GB2312" w:eastAsia="仿宋_GB2312" w:hAnsi="华文中宋" w:cs="华文仿宋"/>
          <w:color w:val="000000"/>
          <w:kern w:val="0"/>
          <w:sz w:val="32"/>
          <w:szCs w:val="32"/>
        </w:rPr>
        <w:t>）其他</w:t>
      </w:r>
      <w:r>
        <w:rPr>
          <w:rFonts w:ascii="仿宋_GB2312" w:eastAsia="仿宋_GB2312" w:hAnsi="华文中宋" w:cs="华文仿宋" w:hint="eastAsia"/>
          <w:color w:val="000000"/>
          <w:kern w:val="0"/>
          <w:sz w:val="32"/>
          <w:szCs w:val="32"/>
        </w:rPr>
        <w:t>对评估报告使用具有重要影响的</w:t>
      </w:r>
      <w:r>
        <w:rPr>
          <w:rFonts w:ascii="仿宋_GB2312" w:eastAsia="仿宋_GB2312" w:hAnsi="华文中宋" w:cs="华文仿宋"/>
          <w:color w:val="000000"/>
          <w:kern w:val="0"/>
          <w:sz w:val="32"/>
          <w:szCs w:val="32"/>
        </w:rPr>
        <w:t>信息。</w:t>
      </w:r>
    </w:p>
    <w:p w14:paraId="5882F0F1" w14:textId="77777777" w:rsidR="00D856BB" w:rsidRPr="00105918" w:rsidRDefault="009654E4" w:rsidP="0092666C">
      <w:pPr>
        <w:pStyle w:val="3"/>
        <w:adjustRightInd w:val="0"/>
        <w:snapToGrid w:val="0"/>
        <w:spacing w:beforeLines="50" w:before="204" w:afterLines="50" w:after="204" w:line="360" w:lineRule="auto"/>
        <w:jc w:val="center"/>
        <w:rPr>
          <w:rFonts w:ascii="黑体" w:eastAsia="黑体" w:hAnsi="黑体"/>
          <w:b w:val="0"/>
          <w:bCs w:val="0"/>
        </w:rPr>
      </w:pPr>
      <w:r w:rsidRPr="00105918">
        <w:rPr>
          <w:rFonts w:ascii="黑体" w:eastAsia="黑体" w:hAnsi="黑体" w:hint="eastAsia"/>
          <w:b w:val="0"/>
          <w:bCs w:val="0"/>
        </w:rPr>
        <w:t>第七章  附则</w:t>
      </w:r>
    </w:p>
    <w:p w14:paraId="326230C2" w14:textId="4FFDDC8A" w:rsidR="00D856BB" w:rsidRDefault="009654E4" w:rsidP="0092666C">
      <w:pPr>
        <w:pStyle w:val="10"/>
        <w:tabs>
          <w:tab w:val="left" w:pos="1985"/>
        </w:tabs>
        <w:autoSpaceDE w:val="0"/>
        <w:autoSpaceDN w:val="0"/>
        <w:adjustRightInd w:val="0"/>
        <w:snapToGrid w:val="0"/>
        <w:spacing w:line="360" w:lineRule="auto"/>
        <w:ind w:firstLine="643"/>
        <w:rPr>
          <w:rFonts w:ascii="仿宋_GB2312" w:eastAsia="仿宋_GB2312" w:hAnsi="华文中宋" w:cs="华文仿宋"/>
          <w:color w:val="000000"/>
          <w:kern w:val="0"/>
          <w:sz w:val="32"/>
          <w:szCs w:val="32"/>
        </w:rPr>
      </w:pPr>
      <w:r>
        <w:rPr>
          <w:rFonts w:ascii="仿宋_GB2312" w:eastAsia="仿宋_GB2312" w:hAnsi="华文中宋" w:cs="华文仿宋" w:hint="eastAsia"/>
          <w:b/>
          <w:color w:val="000000"/>
          <w:kern w:val="0"/>
          <w:sz w:val="32"/>
          <w:szCs w:val="32"/>
        </w:rPr>
        <w:t>第五十一条</w:t>
      </w:r>
      <w:r>
        <w:rPr>
          <w:rFonts w:ascii="仿宋_GB2312" w:eastAsia="仿宋_GB2312" w:hAnsi="华文中宋" w:hint="eastAsia"/>
          <w:color w:val="000000"/>
          <w:sz w:val="32"/>
          <w:szCs w:val="32"/>
        </w:rPr>
        <w:t xml:space="preserve">  </w:t>
      </w:r>
      <w:r>
        <w:rPr>
          <w:rFonts w:ascii="仿宋_GB2312" w:eastAsia="仿宋_GB2312" w:hAnsi="华文中宋" w:cs="华文仿宋" w:hint="eastAsia"/>
          <w:color w:val="000000"/>
          <w:kern w:val="0"/>
          <w:sz w:val="32"/>
          <w:szCs w:val="32"/>
        </w:rPr>
        <w:t>【准则实施日期】本指导意见自202</w:t>
      </w:r>
      <w:r>
        <w:rPr>
          <w:rFonts w:ascii="华文中宋" w:eastAsia="华文中宋" w:hAnsi="华文中宋" w:cs="华文仿宋" w:hint="eastAsia"/>
          <w:color w:val="000000"/>
          <w:kern w:val="0"/>
          <w:sz w:val="32"/>
          <w:szCs w:val="32"/>
        </w:rPr>
        <w:t>×</w:t>
      </w:r>
      <w:r>
        <w:rPr>
          <w:rFonts w:ascii="仿宋_GB2312" w:eastAsia="仿宋_GB2312" w:hAnsi="华文中宋" w:cs="华文仿宋" w:hint="eastAsia"/>
          <w:color w:val="000000"/>
          <w:kern w:val="0"/>
          <w:sz w:val="32"/>
          <w:szCs w:val="32"/>
        </w:rPr>
        <w:t>年</w:t>
      </w:r>
      <w:r>
        <w:rPr>
          <w:rFonts w:ascii="华文中宋" w:eastAsia="华文中宋" w:hAnsi="华文中宋" w:cs="华文仿宋" w:hint="eastAsia"/>
          <w:color w:val="000000"/>
          <w:kern w:val="0"/>
          <w:sz w:val="32"/>
          <w:szCs w:val="32"/>
        </w:rPr>
        <w:lastRenderedPageBreak/>
        <w:t>×</w:t>
      </w:r>
      <w:r>
        <w:rPr>
          <w:rFonts w:ascii="仿宋_GB2312" w:eastAsia="仿宋_GB2312" w:hAnsi="华文中宋" w:cs="华文仿宋" w:hint="eastAsia"/>
          <w:color w:val="000000"/>
          <w:kern w:val="0"/>
          <w:sz w:val="32"/>
          <w:szCs w:val="32"/>
        </w:rPr>
        <w:t>月</w:t>
      </w:r>
      <w:r>
        <w:rPr>
          <w:rFonts w:ascii="华文中宋" w:eastAsia="华文中宋" w:hAnsi="华文中宋" w:cs="华文仿宋" w:hint="eastAsia"/>
          <w:color w:val="000000"/>
          <w:kern w:val="0"/>
          <w:sz w:val="32"/>
          <w:szCs w:val="32"/>
        </w:rPr>
        <w:t>×</w:t>
      </w:r>
      <w:r>
        <w:rPr>
          <w:rFonts w:ascii="仿宋_GB2312" w:eastAsia="仿宋_GB2312" w:hAnsi="华文中宋" w:cs="华文仿宋" w:hint="eastAsia"/>
          <w:color w:val="000000"/>
          <w:kern w:val="0"/>
          <w:sz w:val="32"/>
          <w:szCs w:val="32"/>
        </w:rPr>
        <w:t>日起施行。</w:t>
      </w:r>
      <w:r>
        <w:rPr>
          <w:rFonts w:ascii="仿宋_GB2312" w:eastAsia="仿宋_GB2312" w:hAnsi="华文中宋" w:cs="华文仿宋"/>
          <w:color w:val="000000"/>
          <w:kern w:val="0"/>
          <w:sz w:val="32"/>
          <w:szCs w:val="32"/>
        </w:rPr>
        <w:br w:type="page"/>
      </w:r>
    </w:p>
    <w:p w14:paraId="7BF548D5" w14:textId="7CC9D7A2" w:rsidR="00D856BB" w:rsidRPr="00105918" w:rsidRDefault="009654E4" w:rsidP="0092666C">
      <w:pPr>
        <w:spacing w:line="360" w:lineRule="auto"/>
        <w:rPr>
          <w:rFonts w:ascii="黑体" w:eastAsia="黑体" w:hAnsi="黑体"/>
          <w:sz w:val="32"/>
          <w:szCs w:val="32"/>
        </w:rPr>
      </w:pPr>
      <w:r w:rsidRPr="00105918">
        <w:rPr>
          <w:rFonts w:ascii="黑体" w:eastAsia="黑体" w:hAnsi="黑体" w:hint="eastAsia"/>
          <w:sz w:val="32"/>
          <w:szCs w:val="32"/>
        </w:rPr>
        <w:lastRenderedPageBreak/>
        <w:t>附表</w:t>
      </w:r>
    </w:p>
    <w:p w14:paraId="0BF802BA" w14:textId="77777777" w:rsidR="00D856BB" w:rsidRPr="00105918" w:rsidRDefault="009654E4" w:rsidP="0092666C">
      <w:pPr>
        <w:spacing w:line="360" w:lineRule="auto"/>
        <w:jc w:val="center"/>
        <w:rPr>
          <w:rFonts w:ascii="黑体" w:eastAsia="黑体" w:hAnsi="黑体"/>
          <w:bCs/>
          <w:sz w:val="32"/>
          <w:szCs w:val="32"/>
        </w:rPr>
      </w:pPr>
      <w:r w:rsidRPr="00105918">
        <w:rPr>
          <w:rFonts w:ascii="黑体" w:eastAsia="黑体" w:hAnsi="黑体" w:hint="eastAsia"/>
          <w:bCs/>
          <w:sz w:val="32"/>
          <w:szCs w:val="32"/>
        </w:rPr>
        <w:t>体育无形资产分类统计表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2"/>
        <w:gridCol w:w="1452"/>
        <w:gridCol w:w="1292"/>
        <w:gridCol w:w="1339"/>
        <w:gridCol w:w="2991"/>
      </w:tblGrid>
      <w:tr w:rsidR="00D856BB" w14:paraId="2137EE9F" w14:textId="77777777">
        <w:trPr>
          <w:tblHeader/>
          <w:jc w:val="center"/>
        </w:trPr>
        <w:tc>
          <w:tcPr>
            <w:tcW w:w="1222" w:type="dxa"/>
            <w:shd w:val="clear" w:color="auto" w:fill="auto"/>
          </w:tcPr>
          <w:p w14:paraId="448D4A0D" w14:textId="77777777" w:rsidR="00D856BB" w:rsidRPr="00105918" w:rsidRDefault="009654E4" w:rsidP="0092666C">
            <w:pPr>
              <w:spacing w:line="360" w:lineRule="auto"/>
              <w:jc w:val="center"/>
              <w:rPr>
                <w:rFonts w:ascii="仿宋_GB2312" w:eastAsia="仿宋_GB2312" w:hAnsi="仿宋"/>
                <w:b/>
                <w:sz w:val="24"/>
                <w:szCs w:val="24"/>
              </w:rPr>
            </w:pPr>
            <w:r w:rsidRPr="00105918">
              <w:rPr>
                <w:rFonts w:ascii="仿宋_GB2312" w:eastAsia="仿宋_GB2312" w:hAnsi="仿宋" w:hint="eastAsia"/>
                <w:b/>
                <w:sz w:val="24"/>
                <w:szCs w:val="24"/>
              </w:rPr>
              <w:t>一级分类</w:t>
            </w:r>
          </w:p>
        </w:tc>
        <w:tc>
          <w:tcPr>
            <w:tcW w:w="1452" w:type="dxa"/>
            <w:shd w:val="clear" w:color="auto" w:fill="auto"/>
          </w:tcPr>
          <w:p w14:paraId="7B5E9C33" w14:textId="77777777" w:rsidR="00D856BB" w:rsidRPr="00105918" w:rsidRDefault="009654E4" w:rsidP="0092666C">
            <w:pPr>
              <w:spacing w:line="360" w:lineRule="auto"/>
              <w:jc w:val="center"/>
              <w:rPr>
                <w:rFonts w:ascii="仿宋_GB2312" w:eastAsia="仿宋_GB2312" w:hAnsi="仿宋"/>
                <w:b/>
                <w:sz w:val="24"/>
                <w:szCs w:val="24"/>
              </w:rPr>
            </w:pPr>
            <w:r w:rsidRPr="00105918">
              <w:rPr>
                <w:rFonts w:ascii="仿宋_GB2312" w:eastAsia="仿宋_GB2312" w:hAnsi="仿宋" w:hint="eastAsia"/>
                <w:b/>
                <w:sz w:val="24"/>
                <w:szCs w:val="24"/>
              </w:rPr>
              <w:t>二级分类</w:t>
            </w:r>
          </w:p>
        </w:tc>
        <w:tc>
          <w:tcPr>
            <w:tcW w:w="1292" w:type="dxa"/>
            <w:shd w:val="clear" w:color="auto" w:fill="auto"/>
          </w:tcPr>
          <w:p w14:paraId="779B5BAB" w14:textId="77777777" w:rsidR="00D856BB" w:rsidRPr="00105918" w:rsidRDefault="009654E4" w:rsidP="0092666C">
            <w:pPr>
              <w:spacing w:line="360" w:lineRule="auto"/>
              <w:jc w:val="center"/>
              <w:rPr>
                <w:rFonts w:ascii="仿宋_GB2312" w:eastAsia="仿宋_GB2312" w:hAnsi="仿宋"/>
                <w:b/>
                <w:sz w:val="24"/>
                <w:szCs w:val="24"/>
              </w:rPr>
            </w:pPr>
            <w:r w:rsidRPr="00105918">
              <w:rPr>
                <w:rFonts w:ascii="仿宋_GB2312" w:eastAsia="仿宋_GB2312" w:hAnsi="仿宋" w:hint="eastAsia"/>
                <w:b/>
                <w:sz w:val="24"/>
                <w:szCs w:val="24"/>
              </w:rPr>
              <w:t>三级分类</w:t>
            </w:r>
          </w:p>
        </w:tc>
        <w:tc>
          <w:tcPr>
            <w:tcW w:w="1339" w:type="dxa"/>
            <w:shd w:val="clear" w:color="auto" w:fill="auto"/>
          </w:tcPr>
          <w:p w14:paraId="1E1894CD" w14:textId="77777777" w:rsidR="00D856BB" w:rsidRPr="00105918" w:rsidRDefault="009654E4" w:rsidP="0092666C">
            <w:pPr>
              <w:spacing w:line="360" w:lineRule="auto"/>
              <w:jc w:val="center"/>
              <w:rPr>
                <w:rFonts w:ascii="仿宋_GB2312" w:eastAsia="仿宋_GB2312" w:hAnsi="仿宋"/>
                <w:b/>
                <w:sz w:val="24"/>
                <w:szCs w:val="24"/>
              </w:rPr>
            </w:pPr>
            <w:r w:rsidRPr="00105918">
              <w:rPr>
                <w:rFonts w:ascii="仿宋_GB2312" w:eastAsia="仿宋_GB2312" w:hAnsi="仿宋" w:hint="eastAsia"/>
                <w:b/>
                <w:sz w:val="24"/>
                <w:szCs w:val="24"/>
              </w:rPr>
              <w:t>四级分类</w:t>
            </w:r>
          </w:p>
        </w:tc>
        <w:tc>
          <w:tcPr>
            <w:tcW w:w="2991" w:type="dxa"/>
            <w:shd w:val="clear" w:color="auto" w:fill="auto"/>
          </w:tcPr>
          <w:p w14:paraId="301142AF" w14:textId="77777777" w:rsidR="00D856BB" w:rsidRPr="00105918" w:rsidRDefault="009654E4" w:rsidP="0092666C">
            <w:pPr>
              <w:spacing w:line="360" w:lineRule="auto"/>
              <w:jc w:val="center"/>
              <w:rPr>
                <w:rFonts w:ascii="仿宋_GB2312" w:eastAsia="仿宋_GB2312" w:hAnsi="仿宋"/>
                <w:b/>
                <w:sz w:val="24"/>
                <w:szCs w:val="24"/>
              </w:rPr>
            </w:pPr>
            <w:r w:rsidRPr="00105918">
              <w:rPr>
                <w:rFonts w:ascii="仿宋_GB2312" w:eastAsia="仿宋_GB2312" w:hAnsi="仿宋" w:hint="eastAsia"/>
                <w:b/>
                <w:sz w:val="24"/>
                <w:szCs w:val="24"/>
              </w:rPr>
              <w:t>释义</w:t>
            </w:r>
          </w:p>
        </w:tc>
      </w:tr>
      <w:tr w:rsidR="00D856BB" w14:paraId="518CA422" w14:textId="77777777">
        <w:trPr>
          <w:jc w:val="center"/>
        </w:trPr>
        <w:tc>
          <w:tcPr>
            <w:tcW w:w="1222" w:type="dxa"/>
            <w:vMerge w:val="restart"/>
            <w:shd w:val="clear" w:color="auto" w:fill="auto"/>
          </w:tcPr>
          <w:p w14:paraId="79CA0254"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1可辨认</w:t>
            </w:r>
          </w:p>
        </w:tc>
        <w:tc>
          <w:tcPr>
            <w:tcW w:w="1452" w:type="dxa"/>
            <w:vMerge w:val="restart"/>
            <w:shd w:val="clear" w:color="auto" w:fill="auto"/>
          </w:tcPr>
          <w:p w14:paraId="55C85609"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1</w:t>
            </w:r>
            <w:r>
              <w:rPr>
                <w:rFonts w:ascii="仿宋" w:eastAsia="仿宋" w:hAnsi="仿宋"/>
                <w:sz w:val="22"/>
                <w:szCs w:val="24"/>
              </w:rPr>
              <w:t>.1</w:t>
            </w:r>
            <w:r>
              <w:rPr>
                <w:rFonts w:ascii="仿宋" w:eastAsia="仿宋" w:hAnsi="仿宋" w:hint="eastAsia"/>
                <w:sz w:val="22"/>
                <w:szCs w:val="24"/>
              </w:rPr>
              <w:t>知识产权类</w:t>
            </w:r>
          </w:p>
        </w:tc>
        <w:tc>
          <w:tcPr>
            <w:tcW w:w="1292" w:type="dxa"/>
            <w:vMerge w:val="restart"/>
            <w:shd w:val="clear" w:color="auto" w:fill="auto"/>
          </w:tcPr>
          <w:p w14:paraId="01998B7D"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1</w:t>
            </w:r>
            <w:r>
              <w:rPr>
                <w:rFonts w:ascii="仿宋_GB2312" w:eastAsia="仿宋_GB2312" w:hAnsi="华文中宋" w:cs="华文仿宋"/>
                <w:color w:val="000000"/>
                <w:kern w:val="0"/>
                <w:sz w:val="22"/>
                <w:szCs w:val="32"/>
              </w:rPr>
              <w:t>.1.1</w:t>
            </w:r>
            <w:r>
              <w:rPr>
                <w:rFonts w:ascii="仿宋_GB2312" w:eastAsia="仿宋_GB2312" w:hAnsi="华文中宋" w:cs="华文仿宋" w:hint="eastAsia"/>
                <w:color w:val="000000"/>
                <w:kern w:val="0"/>
                <w:sz w:val="22"/>
                <w:szCs w:val="32"/>
              </w:rPr>
              <w:t>著作权</w:t>
            </w:r>
          </w:p>
        </w:tc>
        <w:tc>
          <w:tcPr>
            <w:tcW w:w="1339" w:type="dxa"/>
            <w:shd w:val="clear" w:color="auto" w:fill="auto"/>
          </w:tcPr>
          <w:p w14:paraId="7A88E351"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体育赛事的电台广播权</w:t>
            </w:r>
          </w:p>
        </w:tc>
        <w:tc>
          <w:tcPr>
            <w:tcW w:w="2991" w:type="dxa"/>
            <w:shd w:val="clear" w:color="auto" w:fill="auto"/>
          </w:tcPr>
          <w:p w14:paraId="7085A15F"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与体育赛事有关的广播权</w:t>
            </w:r>
          </w:p>
        </w:tc>
      </w:tr>
      <w:tr w:rsidR="00D856BB" w14:paraId="1A96F18B" w14:textId="77777777">
        <w:trPr>
          <w:jc w:val="center"/>
        </w:trPr>
        <w:tc>
          <w:tcPr>
            <w:tcW w:w="1222" w:type="dxa"/>
            <w:vMerge/>
            <w:shd w:val="clear" w:color="auto" w:fill="auto"/>
          </w:tcPr>
          <w:p w14:paraId="1B81987A"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55C337EB"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3D4503AB"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1BAA9409" w14:textId="77777777" w:rsidR="00D856BB" w:rsidRDefault="009654E4" w:rsidP="0092666C">
            <w:pPr>
              <w:spacing w:line="360" w:lineRule="auto"/>
              <w:jc w:val="left"/>
              <w:rPr>
                <w:rFonts w:ascii="仿宋_GB2312" w:eastAsia="仿宋_GB2312" w:hAnsi="华文中宋" w:cs="华文仿宋"/>
                <w:color w:val="000000"/>
                <w:kern w:val="0"/>
                <w:sz w:val="22"/>
                <w:szCs w:val="32"/>
              </w:rPr>
            </w:pPr>
            <w:r>
              <w:rPr>
                <w:rFonts w:ascii="仿宋_GB2312" w:eastAsia="仿宋_GB2312" w:hAnsi="华文中宋" w:cs="华文仿宋" w:hint="eastAsia"/>
                <w:color w:val="000000"/>
                <w:kern w:val="0"/>
                <w:sz w:val="22"/>
                <w:szCs w:val="32"/>
              </w:rPr>
              <w:t>体育赛事的电视转播权</w:t>
            </w:r>
          </w:p>
        </w:tc>
        <w:tc>
          <w:tcPr>
            <w:tcW w:w="2991" w:type="dxa"/>
            <w:shd w:val="clear" w:color="auto" w:fill="auto"/>
          </w:tcPr>
          <w:p w14:paraId="79FDD9BC"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与体育赛事有关的广播权</w:t>
            </w:r>
          </w:p>
        </w:tc>
      </w:tr>
      <w:tr w:rsidR="00D856BB" w14:paraId="65D2D2A8" w14:textId="77777777">
        <w:trPr>
          <w:jc w:val="center"/>
        </w:trPr>
        <w:tc>
          <w:tcPr>
            <w:tcW w:w="1222" w:type="dxa"/>
            <w:vMerge/>
            <w:shd w:val="clear" w:color="auto" w:fill="auto"/>
          </w:tcPr>
          <w:p w14:paraId="2BBD18DF"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106FDF68"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2EDA5BB2"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09FC7703"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体育赛事的信息网络传播权</w:t>
            </w:r>
          </w:p>
        </w:tc>
        <w:tc>
          <w:tcPr>
            <w:tcW w:w="2991" w:type="dxa"/>
            <w:shd w:val="clear" w:color="auto" w:fill="auto"/>
          </w:tcPr>
          <w:p w14:paraId="356E5C2C"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与体育赛事有关的信息网络传播权</w:t>
            </w:r>
          </w:p>
        </w:tc>
      </w:tr>
      <w:tr w:rsidR="00D856BB" w14:paraId="31314AD7" w14:textId="77777777">
        <w:trPr>
          <w:jc w:val="center"/>
        </w:trPr>
        <w:tc>
          <w:tcPr>
            <w:tcW w:w="1222" w:type="dxa"/>
            <w:vMerge/>
            <w:shd w:val="clear" w:color="auto" w:fill="auto"/>
          </w:tcPr>
          <w:p w14:paraId="63E86C98"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669ADCD5"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5E16BA82"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28FDF2FB"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体育数据资产</w:t>
            </w:r>
          </w:p>
        </w:tc>
        <w:tc>
          <w:tcPr>
            <w:tcW w:w="2991" w:type="dxa"/>
            <w:shd w:val="clear" w:color="auto" w:fill="auto"/>
          </w:tcPr>
          <w:p w14:paraId="315F5449"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与体育运动或参与主体相关的</w:t>
            </w:r>
            <w:r>
              <w:rPr>
                <w:rFonts w:ascii="仿宋_GB2312" w:eastAsia="仿宋_GB2312" w:hAnsi="华文中宋" w:cs="华文仿宋"/>
                <w:color w:val="000000"/>
                <w:kern w:val="0"/>
                <w:sz w:val="22"/>
                <w:szCs w:val="32"/>
              </w:rPr>
              <w:t>数据库</w:t>
            </w:r>
            <w:r>
              <w:rPr>
                <w:rFonts w:ascii="仿宋_GB2312" w:eastAsia="仿宋_GB2312" w:hAnsi="华文中宋" w:cs="华文仿宋" w:hint="eastAsia"/>
                <w:color w:val="000000"/>
                <w:kern w:val="0"/>
                <w:sz w:val="22"/>
                <w:szCs w:val="32"/>
              </w:rPr>
              <w:t>，</w:t>
            </w:r>
            <w:r>
              <w:rPr>
                <w:rFonts w:ascii="仿宋_GB2312" w:eastAsia="仿宋_GB2312" w:hAnsi="华文中宋" w:cs="华文仿宋"/>
                <w:color w:val="000000"/>
                <w:kern w:val="0"/>
                <w:sz w:val="22"/>
                <w:szCs w:val="32"/>
              </w:rPr>
              <w:t>按数据结构来存储和管理数据的计算机软件系统</w:t>
            </w:r>
          </w:p>
        </w:tc>
      </w:tr>
      <w:tr w:rsidR="00D856BB" w14:paraId="764B27F8" w14:textId="77777777">
        <w:trPr>
          <w:jc w:val="center"/>
        </w:trPr>
        <w:tc>
          <w:tcPr>
            <w:tcW w:w="1222" w:type="dxa"/>
            <w:vMerge/>
            <w:shd w:val="clear" w:color="auto" w:fill="auto"/>
          </w:tcPr>
          <w:p w14:paraId="4B10D72C"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601B8E3F"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1C2CE9DF"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0214C178" w14:textId="77777777" w:rsidR="00D856BB" w:rsidRDefault="009654E4" w:rsidP="0092666C">
            <w:pPr>
              <w:spacing w:line="360" w:lineRule="auto"/>
              <w:jc w:val="left"/>
              <w:rPr>
                <w:rFonts w:ascii="仿宋_GB2312" w:eastAsia="仿宋_GB2312" w:hAnsi="华文中宋" w:cs="华文仿宋"/>
                <w:color w:val="000000"/>
                <w:kern w:val="0"/>
                <w:sz w:val="22"/>
                <w:szCs w:val="32"/>
              </w:rPr>
            </w:pPr>
            <w:r>
              <w:rPr>
                <w:rFonts w:ascii="仿宋_GB2312" w:eastAsia="仿宋_GB2312" w:hAnsi="华文中宋" w:cs="华文仿宋" w:hint="eastAsia"/>
                <w:color w:val="000000"/>
                <w:kern w:val="0"/>
                <w:sz w:val="22"/>
                <w:szCs w:val="32"/>
              </w:rPr>
              <w:t>其他</w:t>
            </w:r>
          </w:p>
        </w:tc>
        <w:tc>
          <w:tcPr>
            <w:tcW w:w="2991" w:type="dxa"/>
            <w:shd w:val="clear" w:color="auto" w:fill="auto"/>
          </w:tcPr>
          <w:p w14:paraId="714EC792" w14:textId="77777777" w:rsidR="00D856BB" w:rsidRDefault="00D856BB" w:rsidP="0092666C">
            <w:pPr>
              <w:spacing w:line="360" w:lineRule="auto"/>
              <w:jc w:val="left"/>
              <w:rPr>
                <w:rFonts w:ascii="仿宋_GB2312" w:eastAsia="仿宋_GB2312" w:hAnsi="华文中宋" w:cs="华文仿宋"/>
                <w:color w:val="000000"/>
                <w:kern w:val="0"/>
                <w:sz w:val="22"/>
                <w:szCs w:val="32"/>
              </w:rPr>
            </w:pPr>
          </w:p>
        </w:tc>
      </w:tr>
      <w:tr w:rsidR="00D856BB" w14:paraId="6B5D480C" w14:textId="77777777">
        <w:trPr>
          <w:jc w:val="center"/>
        </w:trPr>
        <w:tc>
          <w:tcPr>
            <w:tcW w:w="1222" w:type="dxa"/>
            <w:vMerge/>
            <w:shd w:val="clear" w:color="auto" w:fill="auto"/>
          </w:tcPr>
          <w:p w14:paraId="3C4956A5"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648DD407" w14:textId="77777777" w:rsidR="00D856BB" w:rsidRDefault="00D856BB" w:rsidP="0092666C">
            <w:pPr>
              <w:spacing w:line="360" w:lineRule="auto"/>
              <w:jc w:val="left"/>
              <w:rPr>
                <w:rFonts w:ascii="仿宋" w:eastAsia="仿宋" w:hAnsi="仿宋"/>
                <w:sz w:val="22"/>
                <w:szCs w:val="24"/>
              </w:rPr>
            </w:pPr>
          </w:p>
        </w:tc>
        <w:tc>
          <w:tcPr>
            <w:tcW w:w="1292" w:type="dxa"/>
            <w:shd w:val="clear" w:color="auto" w:fill="auto"/>
          </w:tcPr>
          <w:p w14:paraId="300BF373"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1</w:t>
            </w:r>
            <w:r>
              <w:rPr>
                <w:rFonts w:ascii="仿宋_GB2312" w:eastAsia="仿宋_GB2312" w:hAnsi="华文中宋" w:cs="华文仿宋"/>
                <w:color w:val="000000"/>
                <w:kern w:val="0"/>
                <w:sz w:val="22"/>
                <w:szCs w:val="32"/>
              </w:rPr>
              <w:t>.1.2</w:t>
            </w:r>
            <w:r>
              <w:rPr>
                <w:rFonts w:ascii="仿宋_GB2312" w:eastAsia="仿宋_GB2312" w:hAnsi="华文中宋" w:cs="华文仿宋" w:hint="eastAsia"/>
                <w:color w:val="000000"/>
                <w:kern w:val="0"/>
                <w:sz w:val="22"/>
                <w:szCs w:val="32"/>
              </w:rPr>
              <w:t>商标权</w:t>
            </w:r>
          </w:p>
        </w:tc>
        <w:tc>
          <w:tcPr>
            <w:tcW w:w="1339" w:type="dxa"/>
            <w:shd w:val="clear" w:color="auto" w:fill="auto"/>
          </w:tcPr>
          <w:p w14:paraId="558753A0"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体育组织的商标权</w:t>
            </w:r>
          </w:p>
        </w:tc>
        <w:tc>
          <w:tcPr>
            <w:tcW w:w="2991" w:type="dxa"/>
            <w:shd w:val="clear" w:color="auto" w:fill="auto"/>
          </w:tcPr>
          <w:p w14:paraId="439FFA97"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体育组织的注册商标</w:t>
            </w:r>
          </w:p>
        </w:tc>
      </w:tr>
      <w:tr w:rsidR="00D856BB" w14:paraId="5CB92870" w14:textId="77777777">
        <w:trPr>
          <w:jc w:val="center"/>
        </w:trPr>
        <w:tc>
          <w:tcPr>
            <w:tcW w:w="1222" w:type="dxa"/>
            <w:vMerge/>
            <w:shd w:val="clear" w:color="auto" w:fill="auto"/>
          </w:tcPr>
          <w:p w14:paraId="74A1E25A"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0175896A" w14:textId="77777777" w:rsidR="00D856BB" w:rsidRDefault="00D856BB" w:rsidP="0092666C">
            <w:pPr>
              <w:spacing w:line="360" w:lineRule="auto"/>
              <w:jc w:val="left"/>
              <w:rPr>
                <w:rFonts w:ascii="仿宋" w:eastAsia="仿宋" w:hAnsi="仿宋"/>
                <w:sz w:val="22"/>
                <w:szCs w:val="24"/>
              </w:rPr>
            </w:pPr>
          </w:p>
        </w:tc>
        <w:tc>
          <w:tcPr>
            <w:tcW w:w="1292" w:type="dxa"/>
            <w:shd w:val="clear" w:color="auto" w:fill="auto"/>
          </w:tcPr>
          <w:p w14:paraId="15255E95" w14:textId="77777777" w:rsidR="00D856BB" w:rsidRDefault="009654E4" w:rsidP="0092666C">
            <w:pPr>
              <w:spacing w:line="360" w:lineRule="auto"/>
              <w:jc w:val="left"/>
              <w:rPr>
                <w:rFonts w:ascii="仿宋_GB2312" w:eastAsia="仿宋_GB2312" w:hAnsi="华文中宋" w:cs="华文仿宋"/>
                <w:color w:val="000000"/>
                <w:kern w:val="0"/>
                <w:sz w:val="22"/>
                <w:szCs w:val="32"/>
              </w:rPr>
            </w:pPr>
            <w:r>
              <w:rPr>
                <w:rFonts w:ascii="仿宋_GB2312" w:eastAsia="仿宋_GB2312" w:hAnsi="华文中宋" w:cs="华文仿宋" w:hint="eastAsia"/>
                <w:color w:val="000000"/>
                <w:kern w:val="0"/>
                <w:sz w:val="22"/>
                <w:szCs w:val="32"/>
              </w:rPr>
              <w:t>1</w:t>
            </w:r>
            <w:r>
              <w:rPr>
                <w:rFonts w:ascii="仿宋_GB2312" w:eastAsia="仿宋_GB2312" w:hAnsi="华文中宋" w:cs="华文仿宋"/>
                <w:color w:val="000000"/>
                <w:kern w:val="0"/>
                <w:sz w:val="22"/>
                <w:szCs w:val="32"/>
              </w:rPr>
              <w:t>.1.3</w:t>
            </w:r>
            <w:r>
              <w:rPr>
                <w:rFonts w:ascii="仿宋_GB2312" w:eastAsia="仿宋_GB2312" w:hAnsi="华文中宋" w:cs="华文仿宋" w:hint="eastAsia"/>
                <w:color w:val="000000"/>
                <w:kern w:val="0"/>
                <w:sz w:val="22"/>
                <w:szCs w:val="32"/>
              </w:rPr>
              <w:t>标志权</w:t>
            </w:r>
          </w:p>
        </w:tc>
        <w:tc>
          <w:tcPr>
            <w:tcW w:w="1339" w:type="dxa"/>
            <w:shd w:val="clear" w:color="auto" w:fill="auto"/>
          </w:tcPr>
          <w:p w14:paraId="55AA4103"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体育组织的标志权</w:t>
            </w:r>
          </w:p>
        </w:tc>
        <w:tc>
          <w:tcPr>
            <w:tcW w:w="2991" w:type="dxa"/>
            <w:shd w:val="clear" w:color="auto" w:fill="auto"/>
          </w:tcPr>
          <w:p w14:paraId="7F8CEEFC"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经国务院工商行政管理部门核准登记的体育组织的特殊标志</w:t>
            </w:r>
          </w:p>
        </w:tc>
      </w:tr>
      <w:tr w:rsidR="00D856BB" w14:paraId="29DC4865" w14:textId="77777777">
        <w:trPr>
          <w:jc w:val="center"/>
        </w:trPr>
        <w:tc>
          <w:tcPr>
            <w:tcW w:w="1222" w:type="dxa"/>
            <w:vMerge/>
            <w:shd w:val="clear" w:color="auto" w:fill="auto"/>
          </w:tcPr>
          <w:p w14:paraId="46514A4C"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379C17E2" w14:textId="77777777" w:rsidR="00D856BB" w:rsidRDefault="00D856BB" w:rsidP="0092666C">
            <w:pPr>
              <w:spacing w:line="360" w:lineRule="auto"/>
              <w:jc w:val="left"/>
              <w:rPr>
                <w:rFonts w:ascii="仿宋" w:eastAsia="仿宋" w:hAnsi="仿宋"/>
                <w:sz w:val="22"/>
                <w:szCs w:val="24"/>
              </w:rPr>
            </w:pPr>
          </w:p>
        </w:tc>
        <w:tc>
          <w:tcPr>
            <w:tcW w:w="1292" w:type="dxa"/>
            <w:shd w:val="clear" w:color="auto" w:fill="auto"/>
          </w:tcPr>
          <w:p w14:paraId="7A4CFD82"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1</w:t>
            </w:r>
            <w:r>
              <w:rPr>
                <w:rFonts w:ascii="仿宋_GB2312" w:eastAsia="仿宋_GB2312" w:hAnsi="华文中宋" w:cs="华文仿宋"/>
                <w:color w:val="000000"/>
                <w:kern w:val="0"/>
                <w:sz w:val="22"/>
                <w:szCs w:val="32"/>
              </w:rPr>
              <w:t>.1.4</w:t>
            </w:r>
            <w:r>
              <w:rPr>
                <w:rFonts w:ascii="仿宋_GB2312" w:eastAsia="仿宋_GB2312" w:hAnsi="华文中宋" w:cs="华文仿宋" w:hint="eastAsia"/>
                <w:color w:val="000000"/>
                <w:kern w:val="0"/>
                <w:sz w:val="22"/>
                <w:szCs w:val="32"/>
              </w:rPr>
              <w:t>域名</w:t>
            </w:r>
          </w:p>
        </w:tc>
        <w:tc>
          <w:tcPr>
            <w:tcW w:w="1339" w:type="dxa"/>
            <w:shd w:val="clear" w:color="auto" w:fill="auto"/>
          </w:tcPr>
          <w:p w14:paraId="76A65E35"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体育组织的</w:t>
            </w:r>
            <w:r>
              <w:rPr>
                <w:rFonts w:ascii="仿宋_GB2312" w:eastAsia="仿宋_GB2312" w:hAnsi="华文中宋" w:cs="华文仿宋" w:hint="eastAsia"/>
                <w:color w:val="000000"/>
                <w:kern w:val="0"/>
                <w:sz w:val="22"/>
                <w:szCs w:val="32"/>
              </w:rPr>
              <w:lastRenderedPageBreak/>
              <w:t>域名</w:t>
            </w:r>
          </w:p>
        </w:tc>
        <w:tc>
          <w:tcPr>
            <w:tcW w:w="2991" w:type="dxa"/>
            <w:shd w:val="clear" w:color="auto" w:fill="auto"/>
          </w:tcPr>
          <w:p w14:paraId="67790C5D"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lastRenderedPageBreak/>
              <w:t>与体育组织在</w:t>
            </w:r>
            <w:hyperlink r:id="rId7" w:tgtFrame="_blank" w:history="1">
              <w:r>
                <w:rPr>
                  <w:rFonts w:ascii="仿宋_GB2312" w:eastAsia="仿宋_GB2312" w:hAnsi="华文中宋" w:cs="华文仿宋"/>
                  <w:color w:val="000000"/>
                  <w:kern w:val="0"/>
                  <w:sz w:val="22"/>
                  <w:szCs w:val="32"/>
                </w:rPr>
                <w:t>Internet</w:t>
              </w:r>
            </w:hyperlink>
            <w:r>
              <w:rPr>
                <w:rFonts w:ascii="仿宋_GB2312" w:eastAsia="仿宋_GB2312" w:hAnsi="华文中宋" w:cs="华文仿宋"/>
                <w:color w:val="000000"/>
                <w:kern w:val="0"/>
                <w:sz w:val="22"/>
                <w:szCs w:val="32"/>
              </w:rPr>
              <w:t>上</w:t>
            </w:r>
            <w:r>
              <w:rPr>
                <w:rFonts w:ascii="仿宋_GB2312" w:eastAsia="仿宋_GB2312" w:hAnsi="华文中宋" w:cs="华文仿宋" w:hint="eastAsia"/>
                <w:color w:val="000000"/>
                <w:kern w:val="0"/>
                <w:sz w:val="22"/>
                <w:szCs w:val="32"/>
              </w:rPr>
              <w:t>的</w:t>
            </w:r>
            <w:r>
              <w:rPr>
                <w:rFonts w:ascii="仿宋_GB2312" w:eastAsia="仿宋_GB2312" w:hAnsi="华文中宋" w:cs="华文仿宋"/>
                <w:color w:val="000000"/>
                <w:kern w:val="0"/>
                <w:sz w:val="22"/>
                <w:szCs w:val="32"/>
              </w:rPr>
              <w:lastRenderedPageBreak/>
              <w:t>某一台</w:t>
            </w:r>
            <w:hyperlink r:id="rId8" w:tgtFrame="_blank" w:history="1">
              <w:r>
                <w:rPr>
                  <w:rFonts w:ascii="仿宋_GB2312" w:eastAsia="仿宋_GB2312" w:hAnsi="华文中宋" w:cs="华文仿宋"/>
                  <w:color w:val="000000"/>
                  <w:kern w:val="0"/>
                  <w:sz w:val="22"/>
                  <w:szCs w:val="32"/>
                </w:rPr>
                <w:t>计算机</w:t>
              </w:r>
            </w:hyperlink>
            <w:r>
              <w:rPr>
                <w:rFonts w:ascii="仿宋_GB2312" w:eastAsia="仿宋_GB2312" w:hAnsi="华文中宋" w:cs="华文仿宋"/>
                <w:color w:val="000000"/>
                <w:kern w:val="0"/>
                <w:sz w:val="22"/>
                <w:szCs w:val="32"/>
              </w:rPr>
              <w:t>或计算机组的</w:t>
            </w:r>
            <w:r>
              <w:rPr>
                <w:rFonts w:ascii="仿宋_GB2312" w:eastAsia="仿宋_GB2312" w:hAnsi="华文中宋" w:cs="华文仿宋" w:hint="eastAsia"/>
                <w:color w:val="000000"/>
                <w:kern w:val="0"/>
                <w:sz w:val="22"/>
                <w:szCs w:val="32"/>
              </w:rPr>
              <w:t>I</w:t>
            </w:r>
            <w:r>
              <w:rPr>
                <w:rFonts w:ascii="仿宋_GB2312" w:eastAsia="仿宋_GB2312" w:hAnsi="华文中宋" w:cs="华文仿宋"/>
                <w:color w:val="000000"/>
                <w:kern w:val="0"/>
                <w:sz w:val="22"/>
                <w:szCs w:val="32"/>
              </w:rPr>
              <w:t>P</w:t>
            </w:r>
            <w:r>
              <w:rPr>
                <w:rFonts w:ascii="仿宋_GB2312" w:eastAsia="仿宋_GB2312" w:hAnsi="华文中宋" w:cs="华文仿宋" w:hint="eastAsia"/>
                <w:color w:val="000000"/>
                <w:kern w:val="0"/>
                <w:sz w:val="22"/>
                <w:szCs w:val="32"/>
              </w:rPr>
              <w:t>地址对应的</w:t>
            </w:r>
            <w:r>
              <w:rPr>
                <w:rFonts w:ascii="仿宋_GB2312" w:eastAsia="仿宋_GB2312" w:hAnsi="华文中宋" w:cs="华文仿宋"/>
                <w:color w:val="000000"/>
                <w:kern w:val="0"/>
                <w:sz w:val="22"/>
                <w:szCs w:val="32"/>
              </w:rPr>
              <w:t>名称</w:t>
            </w:r>
          </w:p>
        </w:tc>
      </w:tr>
      <w:tr w:rsidR="00D856BB" w14:paraId="0111F8FA" w14:textId="77777777">
        <w:trPr>
          <w:jc w:val="center"/>
        </w:trPr>
        <w:tc>
          <w:tcPr>
            <w:tcW w:w="1222" w:type="dxa"/>
            <w:vMerge/>
            <w:shd w:val="clear" w:color="auto" w:fill="auto"/>
          </w:tcPr>
          <w:p w14:paraId="02D200CB"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4D7524C4" w14:textId="77777777" w:rsidR="00D856BB" w:rsidRDefault="00D856BB" w:rsidP="0092666C">
            <w:pPr>
              <w:spacing w:line="360" w:lineRule="auto"/>
              <w:jc w:val="left"/>
              <w:rPr>
                <w:rFonts w:ascii="仿宋" w:eastAsia="仿宋" w:hAnsi="仿宋"/>
                <w:sz w:val="22"/>
                <w:szCs w:val="24"/>
              </w:rPr>
            </w:pPr>
          </w:p>
        </w:tc>
        <w:tc>
          <w:tcPr>
            <w:tcW w:w="1292" w:type="dxa"/>
            <w:vMerge w:val="restart"/>
            <w:shd w:val="clear" w:color="auto" w:fill="auto"/>
          </w:tcPr>
          <w:p w14:paraId="221055D0"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1</w:t>
            </w:r>
            <w:r>
              <w:rPr>
                <w:rFonts w:ascii="仿宋_GB2312" w:eastAsia="仿宋_GB2312" w:hAnsi="华文中宋" w:cs="华文仿宋"/>
                <w:color w:val="000000"/>
                <w:kern w:val="0"/>
                <w:sz w:val="22"/>
                <w:szCs w:val="32"/>
              </w:rPr>
              <w:t>.1.5</w:t>
            </w:r>
            <w:r>
              <w:rPr>
                <w:rFonts w:ascii="仿宋_GB2312" w:eastAsia="仿宋_GB2312" w:hAnsi="华文中宋" w:cs="华文仿宋" w:hint="eastAsia"/>
                <w:color w:val="000000"/>
                <w:kern w:val="0"/>
                <w:sz w:val="22"/>
                <w:szCs w:val="32"/>
              </w:rPr>
              <w:t>专利权</w:t>
            </w:r>
          </w:p>
        </w:tc>
        <w:tc>
          <w:tcPr>
            <w:tcW w:w="1339" w:type="dxa"/>
            <w:shd w:val="clear" w:color="auto" w:fill="auto"/>
          </w:tcPr>
          <w:p w14:paraId="67B8D88A"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24"/>
              </w:rPr>
              <w:t>体育产品的专利权</w:t>
            </w:r>
          </w:p>
        </w:tc>
        <w:tc>
          <w:tcPr>
            <w:tcW w:w="2991" w:type="dxa"/>
            <w:shd w:val="clear" w:color="auto" w:fill="auto"/>
          </w:tcPr>
          <w:p w14:paraId="39580704"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与体育产品相关的专利权</w:t>
            </w:r>
          </w:p>
        </w:tc>
      </w:tr>
      <w:tr w:rsidR="00D856BB" w14:paraId="5DA999C4" w14:textId="77777777">
        <w:trPr>
          <w:jc w:val="center"/>
        </w:trPr>
        <w:tc>
          <w:tcPr>
            <w:tcW w:w="1222" w:type="dxa"/>
            <w:vMerge/>
            <w:shd w:val="clear" w:color="auto" w:fill="auto"/>
          </w:tcPr>
          <w:p w14:paraId="29893E1A"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11203687"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1BD8982C"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5F5297E0"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体育活动方法的专利权</w:t>
            </w:r>
          </w:p>
        </w:tc>
        <w:tc>
          <w:tcPr>
            <w:tcW w:w="2991" w:type="dxa"/>
            <w:shd w:val="clear" w:color="auto" w:fill="auto"/>
          </w:tcPr>
          <w:p w14:paraId="7E99644B"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与体育活动方法相关的专利权</w:t>
            </w:r>
          </w:p>
        </w:tc>
      </w:tr>
      <w:tr w:rsidR="00D856BB" w14:paraId="3B1A836F" w14:textId="77777777">
        <w:trPr>
          <w:jc w:val="center"/>
        </w:trPr>
        <w:tc>
          <w:tcPr>
            <w:tcW w:w="1222" w:type="dxa"/>
            <w:vMerge/>
            <w:shd w:val="clear" w:color="auto" w:fill="auto"/>
          </w:tcPr>
          <w:p w14:paraId="4E7CCC3E"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24B450C6"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348B8523"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677F54F2"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其他</w:t>
            </w:r>
          </w:p>
        </w:tc>
        <w:tc>
          <w:tcPr>
            <w:tcW w:w="2991" w:type="dxa"/>
            <w:shd w:val="clear" w:color="auto" w:fill="auto"/>
          </w:tcPr>
          <w:p w14:paraId="1AEAC1D3" w14:textId="77777777" w:rsidR="00D856BB" w:rsidRDefault="00D856BB" w:rsidP="0092666C">
            <w:pPr>
              <w:spacing w:line="360" w:lineRule="auto"/>
              <w:jc w:val="left"/>
              <w:rPr>
                <w:rFonts w:ascii="仿宋" w:eastAsia="仿宋" w:hAnsi="仿宋"/>
                <w:sz w:val="22"/>
                <w:szCs w:val="24"/>
              </w:rPr>
            </w:pPr>
          </w:p>
        </w:tc>
      </w:tr>
      <w:tr w:rsidR="00D856BB" w14:paraId="6F763792" w14:textId="77777777">
        <w:trPr>
          <w:jc w:val="center"/>
        </w:trPr>
        <w:tc>
          <w:tcPr>
            <w:tcW w:w="1222" w:type="dxa"/>
            <w:vMerge/>
            <w:shd w:val="clear" w:color="auto" w:fill="auto"/>
          </w:tcPr>
          <w:p w14:paraId="0331139E"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0CCA4328" w14:textId="77777777" w:rsidR="00D856BB" w:rsidRDefault="00D856BB" w:rsidP="0092666C">
            <w:pPr>
              <w:spacing w:line="360" w:lineRule="auto"/>
              <w:jc w:val="left"/>
              <w:rPr>
                <w:rFonts w:ascii="仿宋" w:eastAsia="仿宋" w:hAnsi="仿宋"/>
                <w:sz w:val="22"/>
                <w:szCs w:val="24"/>
              </w:rPr>
            </w:pPr>
          </w:p>
        </w:tc>
        <w:tc>
          <w:tcPr>
            <w:tcW w:w="1292" w:type="dxa"/>
            <w:vMerge w:val="restart"/>
            <w:shd w:val="clear" w:color="auto" w:fill="auto"/>
          </w:tcPr>
          <w:p w14:paraId="467F1632"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1</w:t>
            </w:r>
            <w:r>
              <w:rPr>
                <w:rFonts w:ascii="仿宋_GB2312" w:eastAsia="仿宋_GB2312" w:hAnsi="华文中宋" w:cs="华文仿宋"/>
                <w:color w:val="000000"/>
                <w:kern w:val="0"/>
                <w:sz w:val="22"/>
                <w:szCs w:val="32"/>
              </w:rPr>
              <w:t>.1.6</w:t>
            </w:r>
            <w:r>
              <w:rPr>
                <w:rFonts w:ascii="仿宋_GB2312" w:eastAsia="仿宋_GB2312" w:hAnsi="华文中宋" w:cs="华文仿宋" w:hint="eastAsia"/>
                <w:color w:val="000000"/>
                <w:kern w:val="0"/>
                <w:sz w:val="22"/>
                <w:szCs w:val="32"/>
              </w:rPr>
              <w:t>专有技术</w:t>
            </w:r>
          </w:p>
        </w:tc>
        <w:tc>
          <w:tcPr>
            <w:tcW w:w="1339" w:type="dxa"/>
            <w:shd w:val="clear" w:color="auto" w:fill="auto"/>
          </w:tcPr>
          <w:p w14:paraId="148363A2"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24"/>
              </w:rPr>
              <w:t>体育产品的专有技术</w:t>
            </w:r>
          </w:p>
        </w:tc>
        <w:tc>
          <w:tcPr>
            <w:tcW w:w="2991" w:type="dxa"/>
            <w:shd w:val="clear" w:color="auto" w:fill="auto"/>
          </w:tcPr>
          <w:p w14:paraId="0F92027D"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与体育产品相关的专有技术</w:t>
            </w:r>
          </w:p>
        </w:tc>
      </w:tr>
      <w:tr w:rsidR="00D856BB" w14:paraId="5736175B" w14:textId="77777777">
        <w:trPr>
          <w:jc w:val="center"/>
        </w:trPr>
        <w:tc>
          <w:tcPr>
            <w:tcW w:w="1222" w:type="dxa"/>
            <w:vMerge/>
            <w:shd w:val="clear" w:color="auto" w:fill="auto"/>
          </w:tcPr>
          <w:p w14:paraId="253EC4CA"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741050D2"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30F98785"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6FD0BD46"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体育活动方法的专有技术</w:t>
            </w:r>
          </w:p>
        </w:tc>
        <w:tc>
          <w:tcPr>
            <w:tcW w:w="2991" w:type="dxa"/>
            <w:shd w:val="clear" w:color="auto" w:fill="auto"/>
          </w:tcPr>
          <w:p w14:paraId="35FA1CF8"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与体育活动方法相关的专有技术</w:t>
            </w:r>
          </w:p>
        </w:tc>
      </w:tr>
      <w:tr w:rsidR="00D856BB" w14:paraId="5FA4B3EC" w14:textId="77777777">
        <w:trPr>
          <w:jc w:val="center"/>
        </w:trPr>
        <w:tc>
          <w:tcPr>
            <w:tcW w:w="1222" w:type="dxa"/>
            <w:vMerge/>
            <w:shd w:val="clear" w:color="auto" w:fill="auto"/>
          </w:tcPr>
          <w:p w14:paraId="512ADFEA"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74DCF663"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5BE520C2"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0026A8CB"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其他</w:t>
            </w:r>
          </w:p>
        </w:tc>
        <w:tc>
          <w:tcPr>
            <w:tcW w:w="2991" w:type="dxa"/>
            <w:shd w:val="clear" w:color="auto" w:fill="auto"/>
          </w:tcPr>
          <w:p w14:paraId="66261FF4" w14:textId="77777777" w:rsidR="00D856BB" w:rsidRDefault="00D856BB" w:rsidP="0092666C">
            <w:pPr>
              <w:spacing w:line="360" w:lineRule="auto"/>
              <w:jc w:val="left"/>
              <w:rPr>
                <w:rFonts w:ascii="仿宋" w:eastAsia="仿宋" w:hAnsi="仿宋"/>
                <w:sz w:val="22"/>
                <w:szCs w:val="24"/>
              </w:rPr>
            </w:pPr>
          </w:p>
        </w:tc>
      </w:tr>
      <w:tr w:rsidR="00D856BB" w14:paraId="1A708473" w14:textId="77777777">
        <w:trPr>
          <w:jc w:val="center"/>
        </w:trPr>
        <w:tc>
          <w:tcPr>
            <w:tcW w:w="1222" w:type="dxa"/>
            <w:vMerge/>
            <w:shd w:val="clear" w:color="auto" w:fill="auto"/>
          </w:tcPr>
          <w:p w14:paraId="4C975C9F"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65C90B36" w14:textId="77777777" w:rsidR="00D856BB" w:rsidRDefault="00D856BB" w:rsidP="0092666C">
            <w:pPr>
              <w:spacing w:line="360" w:lineRule="auto"/>
              <w:jc w:val="left"/>
              <w:rPr>
                <w:rFonts w:ascii="仿宋" w:eastAsia="仿宋" w:hAnsi="仿宋"/>
                <w:sz w:val="22"/>
                <w:szCs w:val="24"/>
              </w:rPr>
            </w:pPr>
          </w:p>
        </w:tc>
        <w:tc>
          <w:tcPr>
            <w:tcW w:w="1292" w:type="dxa"/>
            <w:shd w:val="clear" w:color="auto" w:fill="auto"/>
          </w:tcPr>
          <w:p w14:paraId="6CC01372"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1</w:t>
            </w:r>
            <w:r>
              <w:rPr>
                <w:rFonts w:ascii="仿宋" w:eastAsia="仿宋" w:hAnsi="仿宋"/>
                <w:sz w:val="22"/>
                <w:szCs w:val="24"/>
              </w:rPr>
              <w:t>.1.7</w:t>
            </w:r>
            <w:r>
              <w:rPr>
                <w:rFonts w:ascii="仿宋" w:eastAsia="仿宋" w:hAnsi="仿宋" w:hint="eastAsia"/>
                <w:sz w:val="22"/>
                <w:szCs w:val="24"/>
              </w:rPr>
              <w:t>其他</w:t>
            </w:r>
          </w:p>
        </w:tc>
        <w:tc>
          <w:tcPr>
            <w:tcW w:w="1339" w:type="dxa"/>
            <w:shd w:val="clear" w:color="auto" w:fill="auto"/>
          </w:tcPr>
          <w:p w14:paraId="1FB6EDC8" w14:textId="77777777" w:rsidR="00D856BB" w:rsidRDefault="00D856BB" w:rsidP="0092666C">
            <w:pPr>
              <w:spacing w:line="360" w:lineRule="auto"/>
              <w:jc w:val="left"/>
              <w:rPr>
                <w:rFonts w:ascii="仿宋" w:eastAsia="仿宋" w:hAnsi="仿宋"/>
                <w:sz w:val="22"/>
                <w:szCs w:val="24"/>
              </w:rPr>
            </w:pPr>
          </w:p>
        </w:tc>
        <w:tc>
          <w:tcPr>
            <w:tcW w:w="2991" w:type="dxa"/>
            <w:shd w:val="clear" w:color="auto" w:fill="auto"/>
          </w:tcPr>
          <w:p w14:paraId="47CCE4C0" w14:textId="77777777" w:rsidR="00D856BB" w:rsidRDefault="00D856BB" w:rsidP="0092666C">
            <w:pPr>
              <w:spacing w:line="360" w:lineRule="auto"/>
              <w:jc w:val="left"/>
              <w:rPr>
                <w:rFonts w:ascii="仿宋" w:eastAsia="仿宋" w:hAnsi="仿宋"/>
                <w:sz w:val="22"/>
                <w:szCs w:val="24"/>
              </w:rPr>
            </w:pPr>
          </w:p>
        </w:tc>
      </w:tr>
      <w:tr w:rsidR="00D856BB" w14:paraId="2D68E4BF" w14:textId="77777777">
        <w:trPr>
          <w:jc w:val="center"/>
        </w:trPr>
        <w:tc>
          <w:tcPr>
            <w:tcW w:w="1222" w:type="dxa"/>
            <w:vMerge/>
            <w:shd w:val="clear" w:color="auto" w:fill="auto"/>
          </w:tcPr>
          <w:p w14:paraId="6995FC6D" w14:textId="77777777" w:rsidR="00D856BB" w:rsidRDefault="00D856BB" w:rsidP="0092666C">
            <w:pPr>
              <w:spacing w:line="360" w:lineRule="auto"/>
              <w:jc w:val="left"/>
              <w:rPr>
                <w:rFonts w:ascii="仿宋" w:eastAsia="仿宋" w:hAnsi="仿宋"/>
                <w:sz w:val="22"/>
                <w:szCs w:val="24"/>
              </w:rPr>
            </w:pPr>
          </w:p>
        </w:tc>
        <w:tc>
          <w:tcPr>
            <w:tcW w:w="1452" w:type="dxa"/>
            <w:vMerge w:val="restart"/>
            <w:shd w:val="clear" w:color="auto" w:fill="auto"/>
          </w:tcPr>
          <w:p w14:paraId="3A01DAD5"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1</w:t>
            </w:r>
            <w:r>
              <w:rPr>
                <w:rFonts w:ascii="仿宋" w:eastAsia="仿宋" w:hAnsi="仿宋"/>
                <w:sz w:val="22"/>
                <w:szCs w:val="24"/>
              </w:rPr>
              <w:t>.2</w:t>
            </w:r>
            <w:r>
              <w:rPr>
                <w:rFonts w:ascii="仿宋" w:eastAsia="仿宋" w:hAnsi="仿宋" w:hint="eastAsia"/>
                <w:sz w:val="22"/>
                <w:szCs w:val="24"/>
              </w:rPr>
              <w:t>经营类</w:t>
            </w:r>
          </w:p>
        </w:tc>
        <w:tc>
          <w:tcPr>
            <w:tcW w:w="1292" w:type="dxa"/>
            <w:vMerge w:val="restart"/>
            <w:shd w:val="clear" w:color="auto" w:fill="auto"/>
          </w:tcPr>
          <w:p w14:paraId="7434F32B"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1</w:t>
            </w:r>
            <w:r>
              <w:rPr>
                <w:rFonts w:ascii="仿宋" w:eastAsia="仿宋" w:hAnsi="仿宋"/>
                <w:sz w:val="22"/>
                <w:szCs w:val="24"/>
              </w:rPr>
              <w:t>.2.1</w:t>
            </w:r>
            <w:r>
              <w:rPr>
                <w:rFonts w:ascii="仿宋" w:eastAsia="仿宋" w:hAnsi="仿宋" w:hint="eastAsia"/>
                <w:sz w:val="22"/>
                <w:szCs w:val="24"/>
              </w:rPr>
              <w:t>特许经营权</w:t>
            </w:r>
          </w:p>
        </w:tc>
        <w:tc>
          <w:tcPr>
            <w:tcW w:w="1339" w:type="dxa"/>
            <w:shd w:val="clear" w:color="auto" w:fill="auto"/>
          </w:tcPr>
          <w:p w14:paraId="2E61B800" w14:textId="59028CEC"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体育赛事的举办权</w:t>
            </w:r>
          </w:p>
        </w:tc>
        <w:tc>
          <w:tcPr>
            <w:tcW w:w="2991" w:type="dxa"/>
            <w:shd w:val="clear" w:color="auto" w:fill="auto"/>
          </w:tcPr>
          <w:p w14:paraId="75DCA9BE"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获得体育赛事主办方授权，负责具体组织赛事的权利</w:t>
            </w:r>
          </w:p>
        </w:tc>
      </w:tr>
      <w:tr w:rsidR="00D856BB" w14:paraId="609BAF3C" w14:textId="77777777">
        <w:trPr>
          <w:jc w:val="center"/>
        </w:trPr>
        <w:tc>
          <w:tcPr>
            <w:tcW w:w="1222" w:type="dxa"/>
            <w:vMerge/>
            <w:shd w:val="clear" w:color="auto" w:fill="auto"/>
          </w:tcPr>
          <w:p w14:paraId="2C1C3DA4"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527596A4"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0420F829"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7FDCE38E"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体育赛事的冠名权</w:t>
            </w:r>
          </w:p>
        </w:tc>
        <w:tc>
          <w:tcPr>
            <w:tcW w:w="2991" w:type="dxa"/>
            <w:shd w:val="clear" w:color="auto" w:fill="auto"/>
          </w:tcPr>
          <w:p w14:paraId="5812B44C"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获得体育赛事主办方授权，可以自己名称命名赛事的权利</w:t>
            </w:r>
          </w:p>
        </w:tc>
      </w:tr>
      <w:tr w:rsidR="00D856BB" w14:paraId="09DC58E6" w14:textId="77777777">
        <w:trPr>
          <w:jc w:val="center"/>
        </w:trPr>
        <w:tc>
          <w:tcPr>
            <w:tcW w:w="1222" w:type="dxa"/>
            <w:vMerge/>
            <w:shd w:val="clear" w:color="auto" w:fill="auto"/>
          </w:tcPr>
          <w:p w14:paraId="4F9E72A7"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0CA1530D"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23FBE028"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10D32E7C"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体育赛事的广告发布权</w:t>
            </w:r>
          </w:p>
        </w:tc>
        <w:tc>
          <w:tcPr>
            <w:tcW w:w="2991" w:type="dxa"/>
            <w:shd w:val="clear" w:color="auto" w:fill="auto"/>
          </w:tcPr>
          <w:p w14:paraId="10AAF742"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获得体育赛事主办方或者其他权利人授权，可以在赛事</w:t>
            </w:r>
            <w:r>
              <w:rPr>
                <w:rFonts w:ascii="仿宋" w:eastAsia="仿宋" w:hAnsi="仿宋" w:hint="eastAsia"/>
                <w:sz w:val="22"/>
                <w:szCs w:val="24"/>
              </w:rPr>
              <w:lastRenderedPageBreak/>
              <w:t>上发布广告的权利</w:t>
            </w:r>
          </w:p>
        </w:tc>
      </w:tr>
      <w:tr w:rsidR="00D856BB" w14:paraId="4491E2DB" w14:textId="77777777">
        <w:trPr>
          <w:jc w:val="center"/>
        </w:trPr>
        <w:tc>
          <w:tcPr>
            <w:tcW w:w="1222" w:type="dxa"/>
            <w:vMerge/>
            <w:shd w:val="clear" w:color="auto" w:fill="auto"/>
          </w:tcPr>
          <w:p w14:paraId="654B32B0"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10E4808D"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2924694E"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74E8A522"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体育赛事的赞助商称号</w:t>
            </w:r>
          </w:p>
        </w:tc>
        <w:tc>
          <w:tcPr>
            <w:tcW w:w="2991" w:type="dxa"/>
            <w:shd w:val="clear" w:color="auto" w:fill="auto"/>
          </w:tcPr>
          <w:p w14:paraId="1C13F45A"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获得体育赛事主办方或者其他权利人授权，可以被称作为各类赞助商的权利</w:t>
            </w:r>
          </w:p>
        </w:tc>
      </w:tr>
      <w:tr w:rsidR="00D856BB" w14:paraId="61339ED0" w14:textId="77777777">
        <w:trPr>
          <w:jc w:val="center"/>
        </w:trPr>
        <w:tc>
          <w:tcPr>
            <w:tcW w:w="1222" w:type="dxa"/>
            <w:vMerge/>
            <w:shd w:val="clear" w:color="auto" w:fill="auto"/>
          </w:tcPr>
          <w:p w14:paraId="2BB8D44F"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6CB5B1FD"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117A2834"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16651EF2"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体育场馆的冠名权</w:t>
            </w:r>
          </w:p>
        </w:tc>
        <w:tc>
          <w:tcPr>
            <w:tcW w:w="2991" w:type="dxa"/>
            <w:shd w:val="clear" w:color="auto" w:fill="auto"/>
          </w:tcPr>
          <w:p w14:paraId="4060EB67"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获得体育场馆权利人授权，可以自己名称命名体育场馆的权利</w:t>
            </w:r>
          </w:p>
        </w:tc>
      </w:tr>
      <w:tr w:rsidR="00D856BB" w14:paraId="10A7833C" w14:textId="77777777">
        <w:trPr>
          <w:jc w:val="center"/>
        </w:trPr>
        <w:tc>
          <w:tcPr>
            <w:tcW w:w="1222" w:type="dxa"/>
            <w:vMerge/>
            <w:shd w:val="clear" w:color="auto" w:fill="auto"/>
          </w:tcPr>
          <w:p w14:paraId="14608DF2"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57324478"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3E799B57"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5A493A16"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体育场馆的广告发布权</w:t>
            </w:r>
          </w:p>
        </w:tc>
        <w:tc>
          <w:tcPr>
            <w:tcW w:w="2991" w:type="dxa"/>
            <w:shd w:val="clear" w:color="auto" w:fill="auto"/>
          </w:tcPr>
          <w:p w14:paraId="464643E5"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获得体育场馆权利人授权，可以在育场馆发布广告的权利</w:t>
            </w:r>
          </w:p>
        </w:tc>
      </w:tr>
      <w:tr w:rsidR="00D856BB" w14:paraId="05493D81" w14:textId="77777777">
        <w:trPr>
          <w:jc w:val="center"/>
        </w:trPr>
        <w:tc>
          <w:tcPr>
            <w:tcW w:w="1222" w:type="dxa"/>
            <w:vMerge/>
            <w:shd w:val="clear" w:color="auto" w:fill="auto"/>
          </w:tcPr>
          <w:p w14:paraId="05623C83"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24B82B68"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48660900"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0D742523"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运动员个人的商务开发权</w:t>
            </w:r>
          </w:p>
        </w:tc>
        <w:tc>
          <w:tcPr>
            <w:tcW w:w="2991" w:type="dxa"/>
            <w:shd w:val="clear" w:color="auto" w:fill="auto"/>
          </w:tcPr>
          <w:p w14:paraId="3BC164EA"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体育组织可以按照约定使用签约运动员肖像权、</w:t>
            </w:r>
            <w:proofErr w:type="gramStart"/>
            <w:r>
              <w:rPr>
                <w:rFonts w:ascii="仿宋" w:eastAsia="仿宋" w:hAnsi="仿宋" w:hint="eastAsia"/>
                <w:sz w:val="22"/>
                <w:szCs w:val="24"/>
              </w:rPr>
              <w:t>形象权</w:t>
            </w:r>
            <w:proofErr w:type="gramEnd"/>
            <w:r>
              <w:rPr>
                <w:rFonts w:ascii="仿宋" w:eastAsia="仿宋" w:hAnsi="仿宋" w:hint="eastAsia"/>
                <w:sz w:val="22"/>
                <w:szCs w:val="24"/>
              </w:rPr>
              <w:t>等人格</w:t>
            </w:r>
            <w:proofErr w:type="gramStart"/>
            <w:r>
              <w:rPr>
                <w:rFonts w:ascii="仿宋" w:eastAsia="仿宋" w:hAnsi="仿宋" w:hint="eastAsia"/>
                <w:sz w:val="22"/>
                <w:szCs w:val="24"/>
              </w:rPr>
              <w:t>权开展</w:t>
            </w:r>
            <w:proofErr w:type="gramEnd"/>
            <w:r>
              <w:rPr>
                <w:rFonts w:ascii="仿宋" w:eastAsia="仿宋" w:hAnsi="仿宋" w:hint="eastAsia"/>
                <w:sz w:val="22"/>
                <w:szCs w:val="24"/>
              </w:rPr>
              <w:t>广告活动的权利</w:t>
            </w:r>
          </w:p>
        </w:tc>
      </w:tr>
      <w:tr w:rsidR="00D856BB" w14:paraId="7ADECC6F" w14:textId="77777777">
        <w:trPr>
          <w:jc w:val="center"/>
        </w:trPr>
        <w:tc>
          <w:tcPr>
            <w:tcW w:w="1222" w:type="dxa"/>
            <w:vMerge/>
            <w:shd w:val="clear" w:color="auto" w:fill="auto"/>
          </w:tcPr>
          <w:p w14:paraId="65C91ED4"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6FB0A838"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67325A30"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11BAC85E"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教练员个人的商务开发权</w:t>
            </w:r>
          </w:p>
        </w:tc>
        <w:tc>
          <w:tcPr>
            <w:tcW w:w="2991" w:type="dxa"/>
            <w:shd w:val="clear" w:color="auto" w:fill="auto"/>
          </w:tcPr>
          <w:p w14:paraId="45A58B53"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体育组织可以按照约定使用签约教练员肖像权、</w:t>
            </w:r>
            <w:proofErr w:type="gramStart"/>
            <w:r>
              <w:rPr>
                <w:rFonts w:ascii="仿宋" w:eastAsia="仿宋" w:hAnsi="仿宋" w:hint="eastAsia"/>
                <w:sz w:val="22"/>
                <w:szCs w:val="24"/>
              </w:rPr>
              <w:t>形象权</w:t>
            </w:r>
            <w:proofErr w:type="gramEnd"/>
            <w:r>
              <w:rPr>
                <w:rFonts w:ascii="仿宋" w:eastAsia="仿宋" w:hAnsi="仿宋" w:hint="eastAsia"/>
                <w:sz w:val="22"/>
                <w:szCs w:val="24"/>
              </w:rPr>
              <w:t>等人格</w:t>
            </w:r>
            <w:proofErr w:type="gramStart"/>
            <w:r>
              <w:rPr>
                <w:rFonts w:ascii="仿宋" w:eastAsia="仿宋" w:hAnsi="仿宋" w:hint="eastAsia"/>
                <w:sz w:val="22"/>
                <w:szCs w:val="24"/>
              </w:rPr>
              <w:t>权开展</w:t>
            </w:r>
            <w:proofErr w:type="gramEnd"/>
            <w:r>
              <w:rPr>
                <w:rFonts w:ascii="仿宋" w:eastAsia="仿宋" w:hAnsi="仿宋" w:hint="eastAsia"/>
                <w:sz w:val="22"/>
                <w:szCs w:val="24"/>
              </w:rPr>
              <w:t>广告活动的权利</w:t>
            </w:r>
          </w:p>
        </w:tc>
      </w:tr>
      <w:tr w:rsidR="00D856BB" w14:paraId="20967007" w14:textId="77777777">
        <w:trPr>
          <w:jc w:val="center"/>
        </w:trPr>
        <w:tc>
          <w:tcPr>
            <w:tcW w:w="1222" w:type="dxa"/>
            <w:vMerge/>
            <w:shd w:val="clear" w:color="auto" w:fill="auto"/>
          </w:tcPr>
          <w:p w14:paraId="5055C3FF"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054CE947"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729E01E3" w14:textId="77777777" w:rsidR="00D856BB" w:rsidRDefault="00D856BB" w:rsidP="0092666C">
            <w:pPr>
              <w:spacing w:line="360" w:lineRule="auto"/>
              <w:jc w:val="left"/>
              <w:rPr>
                <w:rFonts w:ascii="仿宋_GB2312" w:eastAsia="仿宋_GB2312" w:hAnsi="华文中宋" w:cs="华文仿宋"/>
                <w:color w:val="000000"/>
                <w:kern w:val="0"/>
                <w:sz w:val="22"/>
                <w:szCs w:val="32"/>
              </w:rPr>
            </w:pPr>
          </w:p>
        </w:tc>
        <w:tc>
          <w:tcPr>
            <w:tcW w:w="1339" w:type="dxa"/>
            <w:shd w:val="clear" w:color="auto" w:fill="auto"/>
          </w:tcPr>
          <w:p w14:paraId="32BB4B0A" w14:textId="77777777" w:rsidR="00D856BB" w:rsidRDefault="009654E4" w:rsidP="0092666C">
            <w:pPr>
              <w:spacing w:line="360" w:lineRule="auto"/>
              <w:jc w:val="left"/>
              <w:rPr>
                <w:rFonts w:ascii="仿宋_GB2312" w:eastAsia="仿宋_GB2312" w:hAnsi="华文中宋" w:cs="华文仿宋"/>
                <w:color w:val="000000"/>
                <w:kern w:val="0"/>
                <w:sz w:val="22"/>
                <w:szCs w:val="32"/>
              </w:rPr>
            </w:pPr>
            <w:r>
              <w:rPr>
                <w:rFonts w:ascii="仿宋_GB2312" w:eastAsia="仿宋_GB2312" w:hAnsi="华文中宋" w:cs="华文仿宋" w:hint="eastAsia"/>
                <w:color w:val="000000"/>
                <w:kern w:val="0"/>
                <w:sz w:val="22"/>
                <w:szCs w:val="32"/>
              </w:rPr>
              <w:t>其他</w:t>
            </w:r>
          </w:p>
        </w:tc>
        <w:tc>
          <w:tcPr>
            <w:tcW w:w="2991" w:type="dxa"/>
            <w:shd w:val="clear" w:color="auto" w:fill="auto"/>
          </w:tcPr>
          <w:p w14:paraId="563A95EC" w14:textId="77777777" w:rsidR="00D856BB" w:rsidRDefault="00D856BB" w:rsidP="0092666C">
            <w:pPr>
              <w:spacing w:line="360" w:lineRule="auto"/>
              <w:jc w:val="left"/>
              <w:rPr>
                <w:rFonts w:ascii="仿宋" w:eastAsia="仿宋" w:hAnsi="仿宋"/>
                <w:sz w:val="22"/>
                <w:szCs w:val="24"/>
              </w:rPr>
            </w:pPr>
          </w:p>
        </w:tc>
      </w:tr>
      <w:tr w:rsidR="00D856BB" w14:paraId="27370F06" w14:textId="77777777">
        <w:trPr>
          <w:jc w:val="center"/>
        </w:trPr>
        <w:tc>
          <w:tcPr>
            <w:tcW w:w="1222" w:type="dxa"/>
            <w:vMerge/>
            <w:shd w:val="clear" w:color="auto" w:fill="auto"/>
          </w:tcPr>
          <w:p w14:paraId="46548898" w14:textId="77777777" w:rsidR="00D856BB" w:rsidRDefault="00D856BB" w:rsidP="0092666C">
            <w:pPr>
              <w:spacing w:line="360" w:lineRule="auto"/>
              <w:jc w:val="left"/>
              <w:rPr>
                <w:rFonts w:ascii="仿宋" w:eastAsia="仿宋" w:hAnsi="仿宋"/>
                <w:sz w:val="22"/>
                <w:szCs w:val="24"/>
              </w:rPr>
            </w:pPr>
          </w:p>
        </w:tc>
        <w:tc>
          <w:tcPr>
            <w:tcW w:w="1452" w:type="dxa"/>
            <w:vMerge w:val="restart"/>
            <w:shd w:val="clear" w:color="auto" w:fill="auto"/>
          </w:tcPr>
          <w:p w14:paraId="34091712"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1</w:t>
            </w:r>
            <w:r>
              <w:rPr>
                <w:rFonts w:ascii="仿宋" w:eastAsia="仿宋" w:hAnsi="仿宋"/>
                <w:sz w:val="22"/>
                <w:szCs w:val="24"/>
              </w:rPr>
              <w:t>.3</w:t>
            </w:r>
            <w:r>
              <w:rPr>
                <w:rFonts w:ascii="仿宋" w:eastAsia="仿宋" w:hAnsi="仿宋" w:hint="eastAsia"/>
                <w:sz w:val="22"/>
                <w:szCs w:val="24"/>
              </w:rPr>
              <w:t>关系类</w:t>
            </w:r>
          </w:p>
        </w:tc>
        <w:tc>
          <w:tcPr>
            <w:tcW w:w="1292" w:type="dxa"/>
            <w:shd w:val="clear" w:color="auto" w:fill="auto"/>
          </w:tcPr>
          <w:p w14:paraId="5BC6DDF0"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1</w:t>
            </w:r>
            <w:r>
              <w:rPr>
                <w:rFonts w:ascii="仿宋_GB2312" w:eastAsia="仿宋_GB2312" w:hAnsi="华文中宋" w:cs="华文仿宋"/>
                <w:color w:val="000000"/>
                <w:kern w:val="0"/>
                <w:sz w:val="22"/>
                <w:szCs w:val="32"/>
              </w:rPr>
              <w:t>.3.1</w:t>
            </w:r>
            <w:r>
              <w:rPr>
                <w:rFonts w:ascii="仿宋_GB2312" w:eastAsia="仿宋_GB2312" w:hAnsi="华文中宋" w:cs="华文仿宋" w:hint="eastAsia"/>
                <w:color w:val="000000"/>
                <w:kern w:val="0"/>
                <w:sz w:val="22"/>
                <w:szCs w:val="32"/>
              </w:rPr>
              <w:t>合同权益</w:t>
            </w:r>
          </w:p>
        </w:tc>
        <w:tc>
          <w:tcPr>
            <w:tcW w:w="1339" w:type="dxa"/>
            <w:shd w:val="clear" w:color="auto" w:fill="auto"/>
          </w:tcPr>
          <w:p w14:paraId="773D1634" w14:textId="04C49724"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体育组织的</w:t>
            </w:r>
            <w:r>
              <w:rPr>
                <w:rFonts w:ascii="仿宋_GB2312" w:eastAsia="仿宋_GB2312" w:hAnsi="等线" w:hint="eastAsia"/>
                <w:sz w:val="22"/>
                <w:szCs w:val="36"/>
              </w:rPr>
              <w:t>运动员、教</w:t>
            </w:r>
            <w:r>
              <w:rPr>
                <w:rFonts w:ascii="仿宋_GB2312" w:eastAsia="仿宋_GB2312" w:hAnsi="等线" w:hint="eastAsia"/>
                <w:sz w:val="22"/>
                <w:szCs w:val="36"/>
              </w:rPr>
              <w:lastRenderedPageBreak/>
              <w:t>练员</w:t>
            </w:r>
            <w:r>
              <w:rPr>
                <w:rFonts w:ascii="仿宋_GB2312" w:eastAsia="仿宋_GB2312" w:hAnsi="华文中宋" w:cs="华文仿宋" w:hint="eastAsia"/>
                <w:color w:val="000000"/>
                <w:kern w:val="0"/>
                <w:sz w:val="22"/>
                <w:szCs w:val="32"/>
              </w:rPr>
              <w:t>等技能人才的合同权益</w:t>
            </w:r>
          </w:p>
        </w:tc>
        <w:tc>
          <w:tcPr>
            <w:tcW w:w="2991" w:type="dxa"/>
            <w:shd w:val="clear" w:color="auto" w:fill="auto"/>
          </w:tcPr>
          <w:p w14:paraId="7D89B6CF" w14:textId="04E6E4B9"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lastRenderedPageBreak/>
              <w:t>体育组织的</w:t>
            </w:r>
            <w:r>
              <w:rPr>
                <w:rFonts w:ascii="仿宋_GB2312" w:eastAsia="仿宋_GB2312" w:hAnsi="等线" w:hint="eastAsia"/>
                <w:sz w:val="22"/>
                <w:szCs w:val="36"/>
              </w:rPr>
              <w:t>运动员、教练员</w:t>
            </w:r>
            <w:r>
              <w:rPr>
                <w:rFonts w:ascii="仿宋_GB2312" w:eastAsia="仿宋_GB2312" w:hAnsi="华文中宋" w:cs="华文仿宋" w:hint="eastAsia"/>
                <w:color w:val="000000"/>
                <w:kern w:val="0"/>
                <w:sz w:val="22"/>
                <w:szCs w:val="32"/>
              </w:rPr>
              <w:t>等技能人才的</w:t>
            </w:r>
            <w:r w:rsidR="00145ED7">
              <w:rPr>
                <w:rFonts w:ascii="仿宋_GB2312" w:eastAsia="仿宋_GB2312" w:hAnsi="华文中宋" w:cs="华文仿宋" w:hint="eastAsia"/>
                <w:color w:val="000000"/>
                <w:kern w:val="0"/>
                <w:sz w:val="22"/>
                <w:szCs w:val="32"/>
              </w:rPr>
              <w:t>经纪、代理等</w:t>
            </w:r>
            <w:r>
              <w:rPr>
                <w:rFonts w:ascii="仿宋_GB2312" w:eastAsia="仿宋_GB2312" w:hAnsi="华文中宋" w:cs="华文仿宋" w:hint="eastAsia"/>
                <w:color w:val="000000"/>
                <w:kern w:val="0"/>
                <w:sz w:val="22"/>
                <w:szCs w:val="32"/>
              </w:rPr>
              <w:lastRenderedPageBreak/>
              <w:t>合同权益</w:t>
            </w:r>
          </w:p>
        </w:tc>
      </w:tr>
      <w:tr w:rsidR="00D856BB" w14:paraId="47D64633" w14:textId="77777777">
        <w:trPr>
          <w:jc w:val="center"/>
        </w:trPr>
        <w:tc>
          <w:tcPr>
            <w:tcW w:w="1222" w:type="dxa"/>
            <w:vMerge/>
            <w:shd w:val="clear" w:color="auto" w:fill="auto"/>
          </w:tcPr>
          <w:p w14:paraId="06481B58"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174DC15C" w14:textId="77777777" w:rsidR="00D856BB" w:rsidRDefault="00D856BB" w:rsidP="0092666C">
            <w:pPr>
              <w:spacing w:line="360" w:lineRule="auto"/>
              <w:jc w:val="left"/>
              <w:rPr>
                <w:rFonts w:ascii="仿宋" w:eastAsia="仿宋" w:hAnsi="仿宋"/>
                <w:sz w:val="22"/>
                <w:szCs w:val="24"/>
              </w:rPr>
            </w:pPr>
          </w:p>
        </w:tc>
        <w:tc>
          <w:tcPr>
            <w:tcW w:w="1292" w:type="dxa"/>
            <w:vMerge w:val="restart"/>
            <w:shd w:val="clear" w:color="auto" w:fill="auto"/>
          </w:tcPr>
          <w:p w14:paraId="1CFF975A"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1</w:t>
            </w:r>
            <w:r>
              <w:rPr>
                <w:rFonts w:ascii="仿宋_GB2312" w:eastAsia="仿宋_GB2312" w:hAnsi="华文中宋" w:cs="华文仿宋"/>
                <w:color w:val="000000"/>
                <w:kern w:val="0"/>
                <w:sz w:val="22"/>
                <w:szCs w:val="32"/>
              </w:rPr>
              <w:t>.3.2</w:t>
            </w:r>
            <w:r>
              <w:rPr>
                <w:rFonts w:ascii="仿宋_GB2312" w:eastAsia="仿宋_GB2312" w:hAnsi="华文中宋" w:cs="华文仿宋" w:hint="eastAsia"/>
                <w:color w:val="000000"/>
                <w:kern w:val="0"/>
                <w:sz w:val="22"/>
                <w:szCs w:val="32"/>
              </w:rPr>
              <w:t>客户关系</w:t>
            </w:r>
          </w:p>
        </w:tc>
        <w:tc>
          <w:tcPr>
            <w:tcW w:w="1339" w:type="dxa"/>
            <w:shd w:val="clear" w:color="auto" w:fill="auto"/>
          </w:tcPr>
          <w:p w14:paraId="145E22A0"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体育组织的会员名单</w:t>
            </w:r>
          </w:p>
        </w:tc>
        <w:tc>
          <w:tcPr>
            <w:tcW w:w="2991" w:type="dxa"/>
            <w:shd w:val="clear" w:color="auto" w:fill="auto"/>
          </w:tcPr>
          <w:p w14:paraId="7A63202D"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体育组织的客户资源</w:t>
            </w:r>
          </w:p>
        </w:tc>
      </w:tr>
      <w:tr w:rsidR="00D856BB" w14:paraId="65BE4402" w14:textId="77777777">
        <w:trPr>
          <w:jc w:val="center"/>
        </w:trPr>
        <w:tc>
          <w:tcPr>
            <w:tcW w:w="1222" w:type="dxa"/>
            <w:vMerge/>
            <w:shd w:val="clear" w:color="auto" w:fill="auto"/>
          </w:tcPr>
          <w:p w14:paraId="024FE314"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4DC733DB"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6E1D3E3C"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72E9874B"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体育赛事的赞助</w:t>
            </w:r>
            <w:proofErr w:type="gramStart"/>
            <w:r>
              <w:rPr>
                <w:rFonts w:ascii="仿宋_GB2312" w:eastAsia="仿宋_GB2312" w:hAnsi="华文中宋" w:cs="华文仿宋" w:hint="eastAsia"/>
                <w:color w:val="000000"/>
                <w:kern w:val="0"/>
                <w:sz w:val="22"/>
                <w:szCs w:val="32"/>
              </w:rPr>
              <w:t>商资源</w:t>
            </w:r>
            <w:proofErr w:type="gramEnd"/>
          </w:p>
        </w:tc>
        <w:tc>
          <w:tcPr>
            <w:tcW w:w="2991" w:type="dxa"/>
            <w:shd w:val="clear" w:color="auto" w:fill="auto"/>
          </w:tcPr>
          <w:p w14:paraId="03F8400F"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体育赛事主办方或其他权利人所拥有的客户资源</w:t>
            </w:r>
          </w:p>
        </w:tc>
      </w:tr>
      <w:tr w:rsidR="00D856BB" w14:paraId="1465947B" w14:textId="77777777">
        <w:trPr>
          <w:jc w:val="center"/>
        </w:trPr>
        <w:tc>
          <w:tcPr>
            <w:tcW w:w="1222" w:type="dxa"/>
            <w:vMerge/>
            <w:shd w:val="clear" w:color="auto" w:fill="auto"/>
          </w:tcPr>
          <w:p w14:paraId="4F43E248"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7A4CD106" w14:textId="77777777" w:rsidR="00D856BB" w:rsidRDefault="00D856BB" w:rsidP="0092666C">
            <w:pPr>
              <w:spacing w:line="360" w:lineRule="auto"/>
              <w:jc w:val="left"/>
              <w:rPr>
                <w:rFonts w:ascii="仿宋" w:eastAsia="仿宋" w:hAnsi="仿宋"/>
                <w:sz w:val="22"/>
                <w:szCs w:val="24"/>
              </w:rPr>
            </w:pPr>
          </w:p>
        </w:tc>
        <w:tc>
          <w:tcPr>
            <w:tcW w:w="1292" w:type="dxa"/>
            <w:vMerge/>
            <w:shd w:val="clear" w:color="auto" w:fill="auto"/>
          </w:tcPr>
          <w:p w14:paraId="6FFBD075" w14:textId="77777777" w:rsidR="00D856BB" w:rsidRDefault="00D856BB" w:rsidP="0092666C">
            <w:pPr>
              <w:spacing w:line="360" w:lineRule="auto"/>
              <w:jc w:val="left"/>
              <w:rPr>
                <w:rFonts w:ascii="仿宋" w:eastAsia="仿宋" w:hAnsi="仿宋"/>
                <w:sz w:val="22"/>
                <w:szCs w:val="24"/>
              </w:rPr>
            </w:pPr>
          </w:p>
        </w:tc>
        <w:tc>
          <w:tcPr>
            <w:tcW w:w="1339" w:type="dxa"/>
            <w:shd w:val="clear" w:color="auto" w:fill="auto"/>
          </w:tcPr>
          <w:p w14:paraId="2A790D52" w14:textId="77777777" w:rsidR="00D856BB" w:rsidRDefault="009654E4" w:rsidP="0092666C">
            <w:pPr>
              <w:spacing w:line="360" w:lineRule="auto"/>
              <w:jc w:val="left"/>
              <w:rPr>
                <w:rFonts w:ascii="仿宋_GB2312" w:eastAsia="仿宋_GB2312" w:hAnsi="华文中宋" w:cs="华文仿宋"/>
                <w:color w:val="000000"/>
                <w:kern w:val="0"/>
                <w:sz w:val="22"/>
                <w:szCs w:val="32"/>
              </w:rPr>
            </w:pPr>
            <w:r>
              <w:rPr>
                <w:rFonts w:ascii="仿宋_GB2312" w:eastAsia="仿宋_GB2312" w:hAnsi="华文中宋" w:cs="华文仿宋" w:hint="eastAsia"/>
                <w:color w:val="000000"/>
                <w:kern w:val="0"/>
                <w:sz w:val="22"/>
                <w:szCs w:val="32"/>
              </w:rPr>
              <w:t>其他</w:t>
            </w:r>
          </w:p>
        </w:tc>
        <w:tc>
          <w:tcPr>
            <w:tcW w:w="2991" w:type="dxa"/>
            <w:shd w:val="clear" w:color="auto" w:fill="auto"/>
          </w:tcPr>
          <w:p w14:paraId="0100BD2A" w14:textId="77777777" w:rsidR="00D856BB" w:rsidRDefault="00D856BB" w:rsidP="0092666C">
            <w:pPr>
              <w:spacing w:line="360" w:lineRule="auto"/>
              <w:jc w:val="left"/>
              <w:rPr>
                <w:rFonts w:ascii="仿宋" w:eastAsia="仿宋" w:hAnsi="仿宋"/>
                <w:sz w:val="22"/>
                <w:szCs w:val="24"/>
              </w:rPr>
            </w:pPr>
          </w:p>
        </w:tc>
      </w:tr>
      <w:tr w:rsidR="00D856BB" w14:paraId="23C26D6A" w14:textId="77777777">
        <w:trPr>
          <w:jc w:val="center"/>
        </w:trPr>
        <w:tc>
          <w:tcPr>
            <w:tcW w:w="1222" w:type="dxa"/>
            <w:vMerge/>
            <w:shd w:val="clear" w:color="auto" w:fill="auto"/>
          </w:tcPr>
          <w:p w14:paraId="17FDEA36"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030EC917" w14:textId="77777777" w:rsidR="00D856BB" w:rsidRDefault="00D856BB" w:rsidP="0092666C">
            <w:pPr>
              <w:spacing w:line="360" w:lineRule="auto"/>
              <w:jc w:val="left"/>
              <w:rPr>
                <w:rFonts w:ascii="仿宋" w:eastAsia="仿宋" w:hAnsi="仿宋"/>
                <w:sz w:val="22"/>
                <w:szCs w:val="24"/>
              </w:rPr>
            </w:pPr>
          </w:p>
        </w:tc>
        <w:tc>
          <w:tcPr>
            <w:tcW w:w="1292" w:type="dxa"/>
            <w:shd w:val="clear" w:color="auto" w:fill="auto"/>
          </w:tcPr>
          <w:p w14:paraId="69451A4F"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1</w:t>
            </w:r>
            <w:r>
              <w:rPr>
                <w:rFonts w:ascii="仿宋" w:eastAsia="仿宋" w:hAnsi="仿宋"/>
                <w:sz w:val="22"/>
                <w:szCs w:val="24"/>
              </w:rPr>
              <w:t>.3.3</w:t>
            </w:r>
            <w:r>
              <w:rPr>
                <w:rFonts w:ascii="仿宋" w:eastAsia="仿宋" w:hAnsi="仿宋" w:hint="eastAsia"/>
                <w:sz w:val="22"/>
                <w:szCs w:val="24"/>
              </w:rPr>
              <w:t>其他</w:t>
            </w:r>
          </w:p>
        </w:tc>
        <w:tc>
          <w:tcPr>
            <w:tcW w:w="1339" w:type="dxa"/>
            <w:shd w:val="clear" w:color="auto" w:fill="auto"/>
          </w:tcPr>
          <w:p w14:paraId="1B0F2B92" w14:textId="77777777" w:rsidR="00D856BB" w:rsidRDefault="00D856BB" w:rsidP="0092666C">
            <w:pPr>
              <w:spacing w:line="360" w:lineRule="auto"/>
              <w:jc w:val="left"/>
              <w:rPr>
                <w:rFonts w:ascii="仿宋" w:eastAsia="仿宋" w:hAnsi="仿宋"/>
                <w:sz w:val="22"/>
                <w:szCs w:val="24"/>
              </w:rPr>
            </w:pPr>
          </w:p>
        </w:tc>
        <w:tc>
          <w:tcPr>
            <w:tcW w:w="2991" w:type="dxa"/>
            <w:shd w:val="clear" w:color="auto" w:fill="auto"/>
          </w:tcPr>
          <w:p w14:paraId="30075130" w14:textId="77777777" w:rsidR="00D856BB" w:rsidRDefault="00D856BB" w:rsidP="0092666C">
            <w:pPr>
              <w:spacing w:line="360" w:lineRule="auto"/>
              <w:jc w:val="left"/>
              <w:rPr>
                <w:rFonts w:ascii="仿宋" w:eastAsia="仿宋" w:hAnsi="仿宋"/>
                <w:sz w:val="22"/>
                <w:szCs w:val="24"/>
              </w:rPr>
            </w:pPr>
          </w:p>
        </w:tc>
      </w:tr>
      <w:tr w:rsidR="00D856BB" w14:paraId="05ACA0C9" w14:textId="77777777">
        <w:trPr>
          <w:jc w:val="center"/>
        </w:trPr>
        <w:tc>
          <w:tcPr>
            <w:tcW w:w="1222" w:type="dxa"/>
            <w:vMerge w:val="restart"/>
            <w:shd w:val="clear" w:color="auto" w:fill="auto"/>
          </w:tcPr>
          <w:p w14:paraId="74EC4037"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2不可辨认</w:t>
            </w:r>
          </w:p>
        </w:tc>
        <w:tc>
          <w:tcPr>
            <w:tcW w:w="1452" w:type="dxa"/>
            <w:vMerge w:val="restart"/>
            <w:shd w:val="clear" w:color="auto" w:fill="auto"/>
          </w:tcPr>
          <w:p w14:paraId="26686D7A"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2</w:t>
            </w:r>
            <w:r>
              <w:rPr>
                <w:rFonts w:ascii="仿宋" w:eastAsia="仿宋" w:hAnsi="仿宋"/>
                <w:sz w:val="22"/>
                <w:szCs w:val="24"/>
              </w:rPr>
              <w:t>.1</w:t>
            </w:r>
            <w:r>
              <w:rPr>
                <w:rFonts w:ascii="仿宋" w:eastAsia="仿宋" w:hAnsi="仿宋" w:hint="eastAsia"/>
                <w:sz w:val="22"/>
                <w:szCs w:val="24"/>
              </w:rPr>
              <w:t>商誉</w:t>
            </w:r>
          </w:p>
        </w:tc>
        <w:tc>
          <w:tcPr>
            <w:tcW w:w="1292" w:type="dxa"/>
            <w:shd w:val="clear" w:color="auto" w:fill="auto"/>
          </w:tcPr>
          <w:p w14:paraId="0F3C9F97"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2</w:t>
            </w:r>
            <w:r>
              <w:rPr>
                <w:rFonts w:ascii="仿宋" w:eastAsia="仿宋" w:hAnsi="仿宋"/>
                <w:sz w:val="22"/>
                <w:szCs w:val="24"/>
              </w:rPr>
              <w:t>.1.1</w:t>
            </w:r>
            <w:r>
              <w:rPr>
                <w:rFonts w:ascii="仿宋" w:eastAsia="仿宋" w:hAnsi="仿宋" w:hint="eastAsia"/>
                <w:sz w:val="22"/>
                <w:szCs w:val="24"/>
              </w:rPr>
              <w:t>组合劳动力</w:t>
            </w:r>
          </w:p>
        </w:tc>
        <w:tc>
          <w:tcPr>
            <w:tcW w:w="1339" w:type="dxa"/>
            <w:shd w:val="clear" w:color="auto" w:fill="auto"/>
          </w:tcPr>
          <w:p w14:paraId="23C31529" w14:textId="77777777" w:rsidR="00D856BB" w:rsidRDefault="00D856BB" w:rsidP="0092666C">
            <w:pPr>
              <w:spacing w:line="360" w:lineRule="auto"/>
              <w:jc w:val="left"/>
              <w:rPr>
                <w:rFonts w:ascii="仿宋" w:eastAsia="仿宋" w:hAnsi="仿宋"/>
                <w:sz w:val="22"/>
                <w:szCs w:val="24"/>
              </w:rPr>
            </w:pPr>
          </w:p>
        </w:tc>
        <w:tc>
          <w:tcPr>
            <w:tcW w:w="2991" w:type="dxa"/>
            <w:shd w:val="clear" w:color="auto" w:fill="auto"/>
          </w:tcPr>
          <w:p w14:paraId="0E0F8D4E"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源自体育组织与同行相比所具有的高素质的人才队伍优势</w:t>
            </w:r>
          </w:p>
        </w:tc>
      </w:tr>
      <w:tr w:rsidR="00D856BB" w14:paraId="2C7320BF" w14:textId="77777777">
        <w:trPr>
          <w:jc w:val="center"/>
        </w:trPr>
        <w:tc>
          <w:tcPr>
            <w:tcW w:w="1222" w:type="dxa"/>
            <w:vMerge/>
            <w:shd w:val="clear" w:color="auto" w:fill="auto"/>
          </w:tcPr>
          <w:p w14:paraId="4AA10261" w14:textId="77777777" w:rsidR="00D856BB" w:rsidRDefault="00D856BB" w:rsidP="0092666C">
            <w:pPr>
              <w:spacing w:line="360" w:lineRule="auto"/>
              <w:jc w:val="left"/>
              <w:rPr>
                <w:rFonts w:ascii="仿宋" w:eastAsia="仿宋" w:hAnsi="仿宋"/>
                <w:sz w:val="22"/>
                <w:szCs w:val="24"/>
              </w:rPr>
            </w:pPr>
          </w:p>
        </w:tc>
        <w:tc>
          <w:tcPr>
            <w:tcW w:w="1452" w:type="dxa"/>
            <w:vMerge/>
            <w:shd w:val="clear" w:color="auto" w:fill="auto"/>
          </w:tcPr>
          <w:p w14:paraId="1DE52865" w14:textId="77777777" w:rsidR="00D856BB" w:rsidRDefault="00D856BB" w:rsidP="0092666C">
            <w:pPr>
              <w:spacing w:line="360" w:lineRule="auto"/>
              <w:jc w:val="left"/>
              <w:rPr>
                <w:rFonts w:ascii="仿宋" w:eastAsia="仿宋" w:hAnsi="仿宋"/>
                <w:sz w:val="22"/>
                <w:szCs w:val="24"/>
              </w:rPr>
            </w:pPr>
          </w:p>
        </w:tc>
        <w:tc>
          <w:tcPr>
            <w:tcW w:w="1292" w:type="dxa"/>
            <w:shd w:val="clear" w:color="auto" w:fill="auto"/>
          </w:tcPr>
          <w:p w14:paraId="7B4B6668" w14:textId="77777777" w:rsidR="00D856BB" w:rsidRDefault="009654E4" w:rsidP="0092666C">
            <w:pPr>
              <w:spacing w:line="360" w:lineRule="auto"/>
              <w:jc w:val="left"/>
              <w:rPr>
                <w:rFonts w:ascii="仿宋" w:eastAsia="仿宋" w:hAnsi="仿宋"/>
                <w:sz w:val="22"/>
                <w:szCs w:val="24"/>
              </w:rPr>
            </w:pPr>
            <w:r>
              <w:rPr>
                <w:rFonts w:ascii="仿宋" w:eastAsia="仿宋" w:hAnsi="仿宋" w:hint="eastAsia"/>
                <w:sz w:val="22"/>
                <w:szCs w:val="24"/>
              </w:rPr>
              <w:t>2</w:t>
            </w:r>
            <w:r>
              <w:rPr>
                <w:rFonts w:ascii="仿宋" w:eastAsia="仿宋" w:hAnsi="仿宋"/>
                <w:sz w:val="22"/>
                <w:szCs w:val="24"/>
              </w:rPr>
              <w:t>.1.2</w:t>
            </w:r>
            <w:r>
              <w:rPr>
                <w:rFonts w:ascii="仿宋" w:eastAsia="仿宋" w:hAnsi="仿宋" w:hint="eastAsia"/>
                <w:sz w:val="22"/>
                <w:szCs w:val="24"/>
              </w:rPr>
              <w:t>其他</w:t>
            </w:r>
          </w:p>
        </w:tc>
        <w:tc>
          <w:tcPr>
            <w:tcW w:w="1339" w:type="dxa"/>
            <w:shd w:val="clear" w:color="auto" w:fill="auto"/>
          </w:tcPr>
          <w:p w14:paraId="16A49B12" w14:textId="77777777" w:rsidR="00D856BB" w:rsidRDefault="00D856BB" w:rsidP="0092666C">
            <w:pPr>
              <w:spacing w:line="360" w:lineRule="auto"/>
              <w:jc w:val="left"/>
              <w:rPr>
                <w:rFonts w:ascii="仿宋" w:eastAsia="仿宋" w:hAnsi="仿宋"/>
                <w:sz w:val="22"/>
                <w:szCs w:val="24"/>
              </w:rPr>
            </w:pPr>
          </w:p>
        </w:tc>
        <w:tc>
          <w:tcPr>
            <w:tcW w:w="2991" w:type="dxa"/>
            <w:shd w:val="clear" w:color="auto" w:fill="auto"/>
          </w:tcPr>
          <w:p w14:paraId="43DDBB9C" w14:textId="77777777" w:rsidR="00D856BB" w:rsidRDefault="009654E4" w:rsidP="0092666C">
            <w:pPr>
              <w:spacing w:line="360" w:lineRule="auto"/>
              <w:jc w:val="left"/>
              <w:rPr>
                <w:rFonts w:ascii="仿宋" w:eastAsia="仿宋" w:hAnsi="仿宋"/>
                <w:sz w:val="22"/>
                <w:szCs w:val="24"/>
              </w:rPr>
            </w:pPr>
            <w:r>
              <w:rPr>
                <w:rFonts w:ascii="仿宋_GB2312" w:eastAsia="仿宋_GB2312" w:hAnsi="华文中宋" w:cs="华文仿宋" w:hint="eastAsia"/>
                <w:color w:val="000000"/>
                <w:kern w:val="0"/>
                <w:sz w:val="22"/>
                <w:szCs w:val="32"/>
              </w:rPr>
              <w:t>源自体育组织优越的</w:t>
            </w:r>
            <w:r>
              <w:rPr>
                <w:rFonts w:ascii="仿宋_GB2312" w:eastAsia="仿宋_GB2312" w:hAnsi="华文中宋" w:cs="华文仿宋"/>
                <w:color w:val="000000"/>
                <w:kern w:val="0"/>
                <w:sz w:val="22"/>
                <w:szCs w:val="32"/>
              </w:rPr>
              <w:t>地理位置</w:t>
            </w:r>
            <w:r>
              <w:rPr>
                <w:rFonts w:ascii="仿宋_GB2312" w:eastAsia="仿宋_GB2312" w:hAnsi="华文中宋" w:cs="华文仿宋" w:hint="eastAsia"/>
                <w:color w:val="000000"/>
                <w:kern w:val="0"/>
                <w:sz w:val="22"/>
                <w:szCs w:val="32"/>
              </w:rPr>
              <w:t>、独特的组织文化</w:t>
            </w:r>
            <w:r>
              <w:rPr>
                <w:rFonts w:ascii="仿宋_GB2312" w:eastAsia="仿宋_GB2312" w:hAnsi="华文中宋" w:cs="华文仿宋"/>
                <w:color w:val="000000"/>
                <w:kern w:val="0"/>
                <w:sz w:val="22"/>
                <w:szCs w:val="32"/>
              </w:rPr>
              <w:t>等</w:t>
            </w:r>
            <w:r>
              <w:rPr>
                <w:rFonts w:ascii="仿宋_GB2312" w:eastAsia="仿宋_GB2312" w:hAnsi="华文中宋" w:cs="华文仿宋" w:hint="eastAsia"/>
                <w:color w:val="000000"/>
                <w:kern w:val="0"/>
                <w:sz w:val="22"/>
                <w:szCs w:val="32"/>
              </w:rPr>
              <w:t>与同行相比所具有的比较优势</w:t>
            </w:r>
          </w:p>
        </w:tc>
      </w:tr>
    </w:tbl>
    <w:p w14:paraId="57BC0764" w14:textId="77777777" w:rsidR="00D856BB" w:rsidRDefault="00D856BB" w:rsidP="0092666C">
      <w:pPr>
        <w:spacing w:line="360" w:lineRule="auto"/>
        <w:rPr>
          <w:rFonts w:ascii="仿宋" w:eastAsia="仿宋" w:hAnsi="仿宋"/>
          <w:sz w:val="32"/>
          <w:szCs w:val="32"/>
        </w:rPr>
      </w:pPr>
    </w:p>
    <w:p w14:paraId="63747685" w14:textId="77777777" w:rsidR="00D856BB" w:rsidRDefault="00D856BB" w:rsidP="0092666C">
      <w:pPr>
        <w:spacing w:line="360" w:lineRule="auto"/>
        <w:rPr>
          <w:rFonts w:ascii="仿宋" w:eastAsia="仿宋" w:hAnsi="仿宋"/>
          <w:sz w:val="32"/>
          <w:szCs w:val="32"/>
        </w:rPr>
      </w:pPr>
    </w:p>
    <w:p w14:paraId="05F3BB70" w14:textId="77777777" w:rsidR="00D856BB" w:rsidRDefault="00D856BB" w:rsidP="0092666C">
      <w:pPr>
        <w:pStyle w:val="10"/>
        <w:tabs>
          <w:tab w:val="left" w:pos="1985"/>
        </w:tabs>
        <w:autoSpaceDE w:val="0"/>
        <w:autoSpaceDN w:val="0"/>
        <w:adjustRightInd w:val="0"/>
        <w:snapToGrid w:val="0"/>
        <w:spacing w:line="360" w:lineRule="auto"/>
        <w:ind w:firstLineChars="0" w:firstLine="0"/>
        <w:rPr>
          <w:rFonts w:ascii="仿宋_GB2312" w:eastAsia="仿宋_GB2312" w:hAnsi="仿宋_GB2312" w:cs="仿宋_GB2312"/>
          <w:sz w:val="32"/>
          <w:szCs w:val="32"/>
        </w:rPr>
      </w:pPr>
    </w:p>
    <w:p w14:paraId="726A7979" w14:textId="77777777" w:rsidR="00D856BB" w:rsidRDefault="00D856BB" w:rsidP="0092666C">
      <w:pPr>
        <w:spacing w:line="360" w:lineRule="auto"/>
      </w:pPr>
    </w:p>
    <w:sectPr w:rsidR="00D856BB" w:rsidSect="005B2D0E">
      <w:headerReference w:type="even" r:id="rId9"/>
      <w:headerReference w:type="default" r:id="rId10"/>
      <w:footerReference w:type="even" r:id="rId11"/>
      <w:footerReference w:type="default" r:id="rId12"/>
      <w:pgSz w:w="11906" w:h="16838"/>
      <w:pgMar w:top="1440" w:right="1800" w:bottom="1440" w:left="1800" w:header="851" w:footer="992" w:gutter="0"/>
      <w:pgNumType w:fmt="numberInDash" w:start="4"/>
      <w:cols w:space="720"/>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DA6CF" w14:textId="77777777" w:rsidR="002509F4" w:rsidRDefault="002509F4">
      <w:r>
        <w:separator/>
      </w:r>
    </w:p>
  </w:endnote>
  <w:endnote w:type="continuationSeparator" w:id="0">
    <w:p w14:paraId="134F7677" w14:textId="77777777" w:rsidR="002509F4" w:rsidRDefault="00250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6688755"/>
      <w:docPartObj>
        <w:docPartGallery w:val="Page Numbers (Bottom of Page)"/>
        <w:docPartUnique/>
      </w:docPartObj>
    </w:sdtPr>
    <w:sdtEndPr>
      <w:rPr>
        <w:rFonts w:ascii="宋体" w:hAnsi="宋体"/>
        <w:sz w:val="28"/>
        <w:szCs w:val="28"/>
      </w:rPr>
    </w:sdtEndPr>
    <w:sdtContent>
      <w:p w14:paraId="706289D1" w14:textId="40A0CCE8" w:rsidR="00BB399B" w:rsidRPr="00BB399B" w:rsidRDefault="00BB399B">
        <w:pPr>
          <w:pStyle w:val="a7"/>
          <w:rPr>
            <w:rFonts w:ascii="宋体" w:hAnsi="宋体"/>
            <w:sz w:val="28"/>
            <w:szCs w:val="28"/>
          </w:rPr>
        </w:pPr>
        <w:r w:rsidRPr="00BB399B">
          <w:rPr>
            <w:rFonts w:ascii="宋体" w:hAnsi="宋体"/>
            <w:sz w:val="28"/>
            <w:szCs w:val="28"/>
          </w:rPr>
          <w:fldChar w:fldCharType="begin"/>
        </w:r>
        <w:r w:rsidRPr="00BB399B">
          <w:rPr>
            <w:rFonts w:ascii="宋体" w:hAnsi="宋体"/>
            <w:sz w:val="28"/>
            <w:szCs w:val="28"/>
          </w:rPr>
          <w:instrText>PAGE   \* MERGEFORMAT</w:instrText>
        </w:r>
        <w:r w:rsidRPr="00BB399B">
          <w:rPr>
            <w:rFonts w:ascii="宋体" w:hAnsi="宋体"/>
            <w:sz w:val="28"/>
            <w:szCs w:val="28"/>
          </w:rPr>
          <w:fldChar w:fldCharType="separate"/>
        </w:r>
        <w:r w:rsidRPr="00BB399B">
          <w:rPr>
            <w:rFonts w:ascii="宋体" w:hAnsi="宋体"/>
            <w:sz w:val="28"/>
            <w:szCs w:val="28"/>
            <w:lang w:val="zh-CN"/>
          </w:rPr>
          <w:t>2</w:t>
        </w:r>
        <w:r w:rsidRPr="00BB399B">
          <w:rPr>
            <w:rFonts w:ascii="宋体" w:hAnsi="宋体"/>
            <w:sz w:val="28"/>
            <w:szCs w:val="28"/>
          </w:rPr>
          <w:fldChar w:fldCharType="end"/>
        </w:r>
      </w:p>
    </w:sdtContent>
  </w:sdt>
  <w:p w14:paraId="089C4AD9" w14:textId="30881A37" w:rsidR="00D856BB" w:rsidRDefault="00D856BB">
    <w:pPr>
      <w:pStyle w:val="a7"/>
      <w:tabs>
        <w:tab w:val="left" w:pos="1558"/>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0236527"/>
      <w:docPartObj>
        <w:docPartGallery w:val="Page Numbers (Bottom of Page)"/>
        <w:docPartUnique/>
      </w:docPartObj>
    </w:sdtPr>
    <w:sdtEndPr>
      <w:rPr>
        <w:rFonts w:ascii="宋体" w:hAnsi="宋体"/>
        <w:sz w:val="28"/>
        <w:szCs w:val="28"/>
      </w:rPr>
    </w:sdtEndPr>
    <w:sdtContent>
      <w:p w14:paraId="2B4492CE" w14:textId="7DFEF842" w:rsidR="00BB399B" w:rsidRPr="00BB399B" w:rsidRDefault="00BB399B">
        <w:pPr>
          <w:pStyle w:val="a7"/>
          <w:jc w:val="right"/>
          <w:rPr>
            <w:rFonts w:ascii="宋体" w:hAnsi="宋体"/>
            <w:sz w:val="28"/>
            <w:szCs w:val="28"/>
          </w:rPr>
        </w:pPr>
        <w:r w:rsidRPr="00BB399B">
          <w:rPr>
            <w:rFonts w:ascii="宋体" w:hAnsi="宋体"/>
            <w:sz w:val="28"/>
            <w:szCs w:val="28"/>
          </w:rPr>
          <w:fldChar w:fldCharType="begin"/>
        </w:r>
        <w:r w:rsidRPr="00BB399B">
          <w:rPr>
            <w:rFonts w:ascii="宋体" w:hAnsi="宋体"/>
            <w:sz w:val="28"/>
            <w:szCs w:val="28"/>
          </w:rPr>
          <w:instrText>PAGE   \* MERGEFORMAT</w:instrText>
        </w:r>
        <w:r w:rsidRPr="00BB399B">
          <w:rPr>
            <w:rFonts w:ascii="宋体" w:hAnsi="宋体"/>
            <w:sz w:val="28"/>
            <w:szCs w:val="28"/>
          </w:rPr>
          <w:fldChar w:fldCharType="separate"/>
        </w:r>
        <w:r w:rsidRPr="00BB399B">
          <w:rPr>
            <w:rFonts w:ascii="宋体" w:hAnsi="宋体"/>
            <w:sz w:val="28"/>
            <w:szCs w:val="28"/>
            <w:lang w:val="zh-CN"/>
          </w:rPr>
          <w:t>2</w:t>
        </w:r>
        <w:r w:rsidRPr="00BB399B">
          <w:rPr>
            <w:rFonts w:ascii="宋体" w:hAnsi="宋体"/>
            <w:sz w:val="28"/>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F942D5" w14:textId="77777777" w:rsidR="002509F4" w:rsidRDefault="002509F4">
      <w:r>
        <w:separator/>
      </w:r>
    </w:p>
  </w:footnote>
  <w:footnote w:type="continuationSeparator" w:id="0">
    <w:p w14:paraId="42E44B23" w14:textId="77777777" w:rsidR="002509F4" w:rsidRDefault="002509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91B0B" w14:textId="77777777" w:rsidR="00FB5D04" w:rsidRDefault="00FB5D04" w:rsidP="00FB5D04">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026F0" w14:textId="77777777" w:rsidR="00D856BB" w:rsidRDefault="00D856BB">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546"/>
    <w:rsid w:val="00041F83"/>
    <w:rsid w:val="00097CCA"/>
    <w:rsid w:val="000A0524"/>
    <w:rsid w:val="000E21A5"/>
    <w:rsid w:val="00105918"/>
    <w:rsid w:val="00120911"/>
    <w:rsid w:val="00145ED7"/>
    <w:rsid w:val="00162EF4"/>
    <w:rsid w:val="001A67BC"/>
    <w:rsid w:val="00205546"/>
    <w:rsid w:val="002509F4"/>
    <w:rsid w:val="00251BF2"/>
    <w:rsid w:val="002C7D0F"/>
    <w:rsid w:val="00334601"/>
    <w:rsid w:val="003429F7"/>
    <w:rsid w:val="00373DA5"/>
    <w:rsid w:val="00377617"/>
    <w:rsid w:val="003D0CBE"/>
    <w:rsid w:val="004051B6"/>
    <w:rsid w:val="00517A94"/>
    <w:rsid w:val="0057377F"/>
    <w:rsid w:val="00576FC8"/>
    <w:rsid w:val="005B2D0E"/>
    <w:rsid w:val="005C1F03"/>
    <w:rsid w:val="005E003A"/>
    <w:rsid w:val="006741FA"/>
    <w:rsid w:val="00676F9E"/>
    <w:rsid w:val="006C5D77"/>
    <w:rsid w:val="006E50F5"/>
    <w:rsid w:val="007057F3"/>
    <w:rsid w:val="0072280E"/>
    <w:rsid w:val="007931BC"/>
    <w:rsid w:val="00797109"/>
    <w:rsid w:val="00885C2B"/>
    <w:rsid w:val="00913364"/>
    <w:rsid w:val="0092666C"/>
    <w:rsid w:val="009654E4"/>
    <w:rsid w:val="00A5470A"/>
    <w:rsid w:val="00B251CF"/>
    <w:rsid w:val="00B7772B"/>
    <w:rsid w:val="00BB399B"/>
    <w:rsid w:val="00C9073A"/>
    <w:rsid w:val="00C94893"/>
    <w:rsid w:val="00CD6744"/>
    <w:rsid w:val="00CF3F7B"/>
    <w:rsid w:val="00D31A51"/>
    <w:rsid w:val="00D34AFF"/>
    <w:rsid w:val="00D56EC9"/>
    <w:rsid w:val="00D856BB"/>
    <w:rsid w:val="00DA175A"/>
    <w:rsid w:val="00FB5D04"/>
    <w:rsid w:val="00FE7982"/>
    <w:rsid w:val="1DDC0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0971D0"/>
  <w15:docId w15:val="{6A3AA8EB-FF3C-44DA-B4DA-0CC76BEE1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30"/>
      <w:szCs w:val="30"/>
    </w:rPr>
  </w:style>
  <w:style w:type="paragraph" w:styleId="3">
    <w:name w:val="heading 3"/>
    <w:basedOn w:val="a"/>
    <w:next w:val="a"/>
    <w:link w:val="30"/>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rPr>
      <w:rFonts w:asciiTheme="minorHAnsi" w:eastAsiaTheme="minorEastAsia" w:hAnsiTheme="minorHAnsi" w:cstheme="minorBidi"/>
    </w:rPr>
  </w:style>
  <w:style w:type="paragraph" w:styleId="a5">
    <w:name w:val="Balloon Text"/>
    <w:basedOn w:val="a"/>
    <w:link w:val="a6"/>
    <w:uiPriority w:val="99"/>
    <w:unhideWhenUsed/>
    <w:rPr>
      <w:rFonts w:asciiTheme="minorHAnsi" w:eastAsiaTheme="minorEastAsia" w:hAnsiTheme="minorHAnsi" w:cstheme="minorBidi"/>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Normal (Web)"/>
    <w:basedOn w:val="a"/>
    <w:uiPriority w:val="99"/>
    <w:pPr>
      <w:widowControl/>
      <w:spacing w:before="100" w:beforeAutospacing="1" w:after="100" w:afterAutospacing="1"/>
      <w:jc w:val="left"/>
    </w:pPr>
    <w:rPr>
      <w:rFonts w:ascii="宋体" w:hAnsi="宋体" w:cs="宋体"/>
      <w:kern w:val="0"/>
      <w:sz w:val="24"/>
      <w:szCs w:val="24"/>
    </w:rPr>
  </w:style>
  <w:style w:type="paragraph" w:styleId="ac">
    <w:name w:val="annotation subject"/>
    <w:basedOn w:val="a3"/>
    <w:next w:val="a3"/>
    <w:link w:val="ad"/>
    <w:uiPriority w:val="99"/>
    <w:unhideWhenUsed/>
    <w:rPr>
      <w:b/>
      <w:bCs/>
    </w:rPr>
  </w:style>
  <w:style w:type="table" w:styleId="ae">
    <w:name w:val="Table Grid"/>
    <w:basedOn w:val="a1"/>
    <w:uiPriority w:val="3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uiPriority w:val="99"/>
    <w:unhideWhenUsed/>
    <w:rPr>
      <w:color w:val="0000FF"/>
      <w:u w:val="single"/>
    </w:rPr>
  </w:style>
  <w:style w:type="character" w:styleId="af0">
    <w:name w:val="annotation reference"/>
    <w:uiPriority w:val="99"/>
    <w:unhideWhenUsed/>
    <w:rPr>
      <w:sz w:val="21"/>
      <w:szCs w:val="21"/>
    </w:rPr>
  </w:style>
  <w:style w:type="character" w:customStyle="1" w:styleId="30">
    <w:name w:val="标题 3 字符"/>
    <w:basedOn w:val="a0"/>
    <w:link w:val="3"/>
    <w:uiPriority w:val="9"/>
    <w:rPr>
      <w:rFonts w:ascii="Times New Roman" w:eastAsia="宋体" w:hAnsi="Times New Roman" w:cs="Times New Roman"/>
      <w:b/>
      <w:bCs/>
      <w:sz w:val="32"/>
      <w:szCs w:val="32"/>
    </w:rPr>
  </w:style>
  <w:style w:type="character" w:customStyle="1" w:styleId="a6">
    <w:name w:val="批注框文本 字符"/>
    <w:link w:val="a5"/>
    <w:uiPriority w:val="99"/>
    <w:rPr>
      <w:sz w:val="18"/>
      <w:szCs w:val="18"/>
    </w:rPr>
  </w:style>
  <w:style w:type="character" w:customStyle="1" w:styleId="a4">
    <w:name w:val="批注文字 字符"/>
    <w:link w:val="a3"/>
    <w:uiPriority w:val="99"/>
    <w:rPr>
      <w:sz w:val="30"/>
      <w:szCs w:val="30"/>
    </w:rPr>
  </w:style>
  <w:style w:type="character" w:customStyle="1" w:styleId="ad">
    <w:name w:val="批注主题 字符"/>
    <w:link w:val="ac"/>
    <w:uiPriority w:val="99"/>
    <w:rPr>
      <w:b/>
      <w:bCs/>
      <w:sz w:val="30"/>
      <w:szCs w:val="30"/>
    </w:rPr>
  </w:style>
  <w:style w:type="character" w:customStyle="1" w:styleId="aa">
    <w:name w:val="页眉 字符"/>
    <w:link w:val="a9"/>
    <w:uiPriority w:val="99"/>
    <w:rPr>
      <w:sz w:val="18"/>
      <w:szCs w:val="18"/>
    </w:rPr>
  </w:style>
  <w:style w:type="character" w:customStyle="1" w:styleId="Char1">
    <w:name w:val="批注文字 Char1"/>
    <w:basedOn w:val="a0"/>
    <w:uiPriority w:val="99"/>
    <w:semiHidden/>
    <w:rPr>
      <w:rFonts w:ascii="Times New Roman" w:eastAsia="宋体" w:hAnsi="Times New Roman" w:cs="Times New Roman"/>
      <w:sz w:val="30"/>
      <w:szCs w:val="30"/>
    </w:rPr>
  </w:style>
  <w:style w:type="character" w:customStyle="1" w:styleId="Char10">
    <w:name w:val="批注框文本 Char1"/>
    <w:basedOn w:val="a0"/>
    <w:uiPriority w:val="99"/>
    <w:semiHidden/>
    <w:rPr>
      <w:rFonts w:ascii="Times New Roman" w:eastAsia="宋体" w:hAnsi="Times New Roman" w:cs="Times New Roman"/>
      <w:sz w:val="18"/>
      <w:szCs w:val="18"/>
    </w:rPr>
  </w:style>
  <w:style w:type="character" w:customStyle="1" w:styleId="Char11">
    <w:name w:val="页眉 Char1"/>
    <w:basedOn w:val="a0"/>
    <w:uiPriority w:val="99"/>
    <w:semiHidden/>
    <w:rPr>
      <w:rFonts w:ascii="Times New Roman" w:eastAsia="宋体" w:hAnsi="Times New Roman" w:cs="Times New Roman"/>
      <w:sz w:val="18"/>
      <w:szCs w:val="18"/>
    </w:rPr>
  </w:style>
  <w:style w:type="character" w:customStyle="1" w:styleId="Char">
    <w:name w:val="页脚 Char"/>
    <w:basedOn w:val="a0"/>
    <w:uiPriority w:val="99"/>
    <w:semiHidden/>
    <w:rPr>
      <w:rFonts w:ascii="Times New Roman" w:eastAsia="宋体" w:hAnsi="Times New Roman" w:cs="Times New Roman"/>
      <w:sz w:val="18"/>
      <w:szCs w:val="18"/>
    </w:rPr>
  </w:style>
  <w:style w:type="character" w:customStyle="1" w:styleId="Char12">
    <w:name w:val="批注主题 Char1"/>
    <w:basedOn w:val="Char1"/>
    <w:uiPriority w:val="99"/>
    <w:semiHidden/>
    <w:rPr>
      <w:rFonts w:ascii="Times New Roman" w:eastAsia="宋体" w:hAnsi="Times New Roman" w:cs="Times New Roman"/>
      <w:b/>
      <w:bCs/>
      <w:sz w:val="30"/>
      <w:szCs w:val="30"/>
    </w:rPr>
  </w:style>
  <w:style w:type="paragraph" w:customStyle="1" w:styleId="1">
    <w:name w:val="修订1"/>
    <w:uiPriority w:val="99"/>
    <w:unhideWhenUsed/>
    <w:rPr>
      <w:rFonts w:ascii="Times New Roman" w:eastAsia="宋体" w:hAnsi="Times New Roman" w:cs="Times New Roman"/>
      <w:kern w:val="2"/>
      <w:sz w:val="30"/>
      <w:szCs w:val="30"/>
    </w:rPr>
  </w:style>
  <w:style w:type="paragraph" w:customStyle="1" w:styleId="10">
    <w:name w:val="列出段落1"/>
    <w:basedOn w:val="a"/>
    <w:uiPriority w:val="34"/>
    <w:qFormat/>
    <w:pPr>
      <w:ind w:firstLineChars="200" w:firstLine="420"/>
    </w:pPr>
    <w:rPr>
      <w:sz w:val="21"/>
      <w:szCs w:val="22"/>
    </w:rPr>
  </w:style>
  <w:style w:type="paragraph" w:customStyle="1" w:styleId="doc-a">
    <w:name w:val="doc-a"/>
    <w:basedOn w:val="a"/>
    <w:pPr>
      <w:widowControl/>
      <w:spacing w:before="100" w:beforeAutospacing="1" w:after="100" w:afterAutospacing="1"/>
      <w:jc w:val="left"/>
    </w:pPr>
    <w:rPr>
      <w:rFonts w:ascii="宋体" w:hAnsi="宋体" w:cs="宋体"/>
      <w:kern w:val="0"/>
      <w:sz w:val="24"/>
      <w:szCs w:val="24"/>
    </w:rPr>
  </w:style>
  <w:style w:type="paragraph" w:styleId="af1">
    <w:name w:val="List Paragraph"/>
    <w:basedOn w:val="a"/>
    <w:uiPriority w:val="99"/>
    <w:qFormat/>
    <w:pPr>
      <w:ind w:firstLineChars="200" w:firstLine="420"/>
    </w:pPr>
  </w:style>
  <w:style w:type="character" w:customStyle="1" w:styleId="a8">
    <w:name w:val="页脚 字符"/>
    <w:link w:val="a7"/>
    <w:uiPriority w:val="9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aike.baidu.com/item/%E8%AE%A1%E7%AE%97%E6%9C%BA/14033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ike.baidu.com/item/Interne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21</Pages>
  <Words>1306</Words>
  <Characters>7446</Characters>
  <Application>Microsoft Office Word</Application>
  <DocSecurity>0</DocSecurity>
  <Lines>62</Lines>
  <Paragraphs>17</Paragraphs>
  <ScaleCrop>false</ScaleCrop>
  <Company/>
  <LinksUpToDate>false</LinksUpToDate>
  <CharactersWithSpaces>8735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yqs</dc:creator>
  <cp:lastModifiedBy>刘 剑桥</cp:lastModifiedBy>
  <cp:revision>13</cp:revision>
  <dcterms:created xsi:type="dcterms:W3CDTF">2021-06-09T02:09:00Z</dcterms:created>
  <dcterms:modified xsi:type="dcterms:W3CDTF">2021-06-25T07:48:00Z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E2404ADEA8A24402AD049F4E5010A763</vt:lpwstr>
  </property>
</Properties>
</file>